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C4" w:rsidRPr="00522628" w:rsidRDefault="001941C4" w:rsidP="001941C4">
      <w:pPr>
        <w:spacing w:before="240" w:after="0"/>
        <w:jc w:val="center"/>
        <w:rPr>
          <w:rFonts w:ascii="Times New Roman" w:hAnsi="Times New Roman"/>
          <w:b/>
          <w:sz w:val="36"/>
          <w:szCs w:val="36"/>
        </w:rPr>
      </w:pPr>
      <w:r w:rsidRPr="00522628">
        <w:rPr>
          <w:rFonts w:ascii="Times New Roman" w:hAnsi="Times New Roman"/>
          <w:b/>
          <w:sz w:val="36"/>
          <w:szCs w:val="36"/>
        </w:rPr>
        <w:t xml:space="preserve">Informācija par </w:t>
      </w:r>
      <w:r>
        <w:rPr>
          <w:rFonts w:ascii="Times New Roman" w:hAnsi="Times New Roman"/>
          <w:b/>
          <w:sz w:val="36"/>
          <w:szCs w:val="36"/>
        </w:rPr>
        <w:t>zobārst</w:t>
      </w:r>
      <w:r w:rsidR="00715B8E">
        <w:rPr>
          <w:rFonts w:ascii="Times New Roman" w:hAnsi="Times New Roman"/>
          <w:b/>
          <w:sz w:val="36"/>
          <w:szCs w:val="36"/>
        </w:rPr>
        <w:t>niecību</w:t>
      </w:r>
    </w:p>
    <w:p w:rsidR="001941C4" w:rsidRPr="00522628" w:rsidRDefault="001941C4" w:rsidP="001941C4">
      <w:pPr>
        <w:spacing w:after="0"/>
        <w:jc w:val="center"/>
        <w:rPr>
          <w:rFonts w:ascii="Times New Roman" w:hAnsi="Times New Roman"/>
          <w:sz w:val="26"/>
          <w:szCs w:val="26"/>
        </w:rPr>
      </w:pPr>
      <w:r w:rsidRPr="00522628">
        <w:rPr>
          <w:rFonts w:ascii="Times New Roman" w:hAnsi="Times New Roman"/>
          <w:sz w:val="26"/>
          <w:szCs w:val="26"/>
        </w:rPr>
        <w:t>(N</w:t>
      </w:r>
      <w:r>
        <w:rPr>
          <w:rFonts w:ascii="Times New Roman" w:hAnsi="Times New Roman"/>
          <w:sz w:val="26"/>
          <w:szCs w:val="26"/>
        </w:rPr>
        <w:t>ACE 2.redakcijas kods 8623</w:t>
      </w:r>
      <w:r w:rsidRPr="00522628">
        <w:rPr>
          <w:rFonts w:ascii="Times New Roman" w:hAnsi="Times New Roman"/>
          <w:sz w:val="26"/>
          <w:szCs w:val="26"/>
        </w:rPr>
        <w:t>)</w:t>
      </w:r>
    </w:p>
    <w:p w:rsidR="001941C4" w:rsidRDefault="001941C4" w:rsidP="00C806BB">
      <w:pPr>
        <w:spacing w:after="0" w:line="240" w:lineRule="auto"/>
        <w:jc w:val="both"/>
        <w:rPr>
          <w:rFonts w:ascii="Times New Roman" w:hAnsi="Times New Roman"/>
          <w:b/>
        </w:rPr>
      </w:pPr>
    </w:p>
    <w:p w:rsidR="001941C4" w:rsidRDefault="001941C4" w:rsidP="001941C4">
      <w:pPr>
        <w:pStyle w:val="ListParagraph"/>
        <w:spacing w:after="0" w:line="240" w:lineRule="auto"/>
        <w:ind w:left="426"/>
        <w:jc w:val="both"/>
        <w:rPr>
          <w:rFonts w:ascii="Times New Roman" w:hAnsi="Times New Roman"/>
          <w:b/>
        </w:rPr>
      </w:pPr>
    </w:p>
    <w:p w:rsidR="00C806BB" w:rsidRPr="006D561A" w:rsidRDefault="00C806BB" w:rsidP="00C806BB">
      <w:pPr>
        <w:pStyle w:val="ListParagraph"/>
        <w:numPr>
          <w:ilvl w:val="0"/>
          <w:numId w:val="1"/>
        </w:numPr>
        <w:spacing w:after="0" w:line="240" w:lineRule="auto"/>
        <w:ind w:left="426" w:hanging="426"/>
        <w:jc w:val="both"/>
        <w:rPr>
          <w:rFonts w:ascii="Times New Roman" w:hAnsi="Times New Roman"/>
          <w:b/>
          <w:sz w:val="28"/>
          <w:szCs w:val="28"/>
        </w:rPr>
      </w:pPr>
      <w:r w:rsidRPr="006D561A">
        <w:rPr>
          <w:rFonts w:ascii="Times New Roman" w:hAnsi="Times New Roman"/>
          <w:b/>
          <w:sz w:val="28"/>
          <w:szCs w:val="28"/>
        </w:rPr>
        <w:t>Nodokļu maksātāju skaits</w:t>
      </w:r>
    </w:p>
    <w:p w:rsidR="00C806BB" w:rsidRPr="005133F0" w:rsidRDefault="00C806BB" w:rsidP="00C806BB">
      <w:pPr>
        <w:spacing w:after="0" w:line="240" w:lineRule="auto"/>
        <w:jc w:val="both"/>
        <w:rPr>
          <w:rFonts w:ascii="Times New Roman" w:hAnsi="Times New Roman"/>
          <w:b/>
          <w:sz w:val="26"/>
          <w:szCs w:val="26"/>
        </w:rPr>
      </w:pPr>
    </w:p>
    <w:p w:rsidR="00C806BB" w:rsidRPr="005133F0" w:rsidRDefault="00C806BB" w:rsidP="00C806BB">
      <w:pPr>
        <w:spacing w:after="0" w:line="240" w:lineRule="auto"/>
        <w:ind w:firstLine="720"/>
        <w:jc w:val="both"/>
        <w:rPr>
          <w:rFonts w:ascii="Times New Roman" w:hAnsi="Times New Roman"/>
          <w:sz w:val="26"/>
          <w:szCs w:val="26"/>
        </w:rPr>
      </w:pPr>
      <w:r w:rsidRPr="005133F0">
        <w:rPr>
          <w:rFonts w:ascii="Times New Roman" w:hAnsi="Times New Roman"/>
          <w:sz w:val="26"/>
          <w:szCs w:val="26"/>
        </w:rPr>
        <w:t>Pēc informācijas uz 2013.gada 02.oktobri nozarē darbojas 932 nodokļu maksātāj</w:t>
      </w:r>
      <w:r w:rsidR="005133F0" w:rsidRPr="005133F0">
        <w:rPr>
          <w:rFonts w:ascii="Times New Roman" w:hAnsi="Times New Roman"/>
          <w:sz w:val="26"/>
          <w:szCs w:val="26"/>
        </w:rPr>
        <w:t>i</w:t>
      </w:r>
      <w:r w:rsidRPr="005133F0">
        <w:rPr>
          <w:rFonts w:ascii="Times New Roman" w:hAnsi="Times New Roman"/>
          <w:sz w:val="26"/>
          <w:szCs w:val="26"/>
        </w:rPr>
        <w:t xml:space="preserve">, t.sk. 91 (9,8 % no visiem nozares nodokļu maksātājiem) ir PVN maksātājs un 120 (12,9 %) ir MUN maksātāji </w:t>
      </w:r>
      <w:r w:rsidRPr="009532F2">
        <w:rPr>
          <w:rFonts w:ascii="Times New Roman" w:hAnsi="Times New Roman"/>
          <w:i/>
          <w:sz w:val="26"/>
          <w:szCs w:val="26"/>
        </w:rPr>
        <w:t>(skatīt 1.tabulu)</w:t>
      </w:r>
      <w:r w:rsidRPr="005133F0">
        <w:rPr>
          <w:rFonts w:ascii="Times New Roman" w:hAnsi="Times New Roman"/>
          <w:sz w:val="26"/>
          <w:szCs w:val="26"/>
        </w:rPr>
        <w:t>.</w:t>
      </w:r>
    </w:p>
    <w:p w:rsidR="00C806BB" w:rsidRPr="00715B8E" w:rsidRDefault="00C806BB" w:rsidP="00C806BB">
      <w:pPr>
        <w:spacing w:after="0" w:line="240" w:lineRule="auto"/>
        <w:ind w:firstLine="709"/>
        <w:jc w:val="right"/>
        <w:rPr>
          <w:rFonts w:ascii="Times New Roman" w:hAnsi="Times New Roman"/>
          <w:sz w:val="26"/>
          <w:szCs w:val="26"/>
        </w:rPr>
      </w:pPr>
      <w:r w:rsidRPr="00715B8E">
        <w:rPr>
          <w:rFonts w:ascii="Times New Roman" w:hAnsi="Times New Roman"/>
          <w:sz w:val="26"/>
          <w:szCs w:val="26"/>
        </w:rPr>
        <w:t>1.tabula</w:t>
      </w:r>
    </w:p>
    <w:p w:rsidR="00C806BB" w:rsidRPr="00715B8E" w:rsidRDefault="00C806BB" w:rsidP="00C806BB">
      <w:pPr>
        <w:spacing w:after="0" w:line="240" w:lineRule="auto"/>
        <w:jc w:val="center"/>
        <w:rPr>
          <w:rFonts w:ascii="Times New Roman" w:hAnsi="Times New Roman"/>
          <w:b/>
          <w:sz w:val="26"/>
          <w:szCs w:val="26"/>
        </w:rPr>
      </w:pPr>
      <w:r w:rsidRPr="00715B8E">
        <w:rPr>
          <w:rFonts w:ascii="Times New Roman" w:hAnsi="Times New Roman"/>
          <w:b/>
          <w:sz w:val="26"/>
          <w:szCs w:val="26"/>
        </w:rPr>
        <w:t>Nozares nodokļu maksātāju skaita statistika</w:t>
      </w:r>
    </w:p>
    <w:p w:rsidR="00C806BB" w:rsidRPr="00654F1F" w:rsidRDefault="00C806BB" w:rsidP="00C806BB">
      <w:pPr>
        <w:spacing w:after="0" w:line="240" w:lineRule="auto"/>
        <w:jc w:val="center"/>
        <w:rPr>
          <w:rFonts w:ascii="Times New Roman" w:hAnsi="Times New Roman"/>
          <w:b/>
        </w:rPr>
      </w:pPr>
    </w:p>
    <w:tbl>
      <w:tblPr>
        <w:tblW w:w="8655" w:type="dxa"/>
        <w:tblBorders>
          <w:top w:val="single" w:sz="8" w:space="0" w:color="FFFFFF"/>
          <w:left w:val="single" w:sz="4" w:space="0" w:color="FFFFFF"/>
          <w:bottom w:val="single" w:sz="8"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
        <w:gridCol w:w="1986"/>
        <w:gridCol w:w="1276"/>
        <w:gridCol w:w="1744"/>
        <w:gridCol w:w="1754"/>
        <w:gridCol w:w="938"/>
      </w:tblGrid>
      <w:tr w:rsidR="00C806BB" w:rsidRPr="00654F1F" w:rsidTr="005133F0">
        <w:trPr>
          <w:trHeight w:val="282"/>
        </w:trPr>
        <w:tc>
          <w:tcPr>
            <w:tcW w:w="957" w:type="dxa"/>
            <w:vMerge w:val="restart"/>
            <w:shd w:val="clear" w:color="auto" w:fill="95B3D7"/>
            <w:vAlign w:val="center"/>
            <w:hideMark/>
          </w:tcPr>
          <w:p w:rsidR="00C806BB" w:rsidRPr="00654F1F" w:rsidRDefault="00C806BB" w:rsidP="00C43315">
            <w:pPr>
              <w:spacing w:after="0" w:line="240" w:lineRule="auto"/>
              <w:jc w:val="center"/>
              <w:rPr>
                <w:rFonts w:ascii="Times New Roman" w:eastAsia="Times New Roman" w:hAnsi="Times New Roman"/>
                <w:b/>
                <w:bCs/>
                <w:color w:val="000000"/>
                <w:lang w:eastAsia="lv-LV"/>
              </w:rPr>
            </w:pPr>
            <w:r w:rsidRPr="00654F1F">
              <w:rPr>
                <w:rFonts w:ascii="Times New Roman" w:eastAsia="Times New Roman" w:hAnsi="Times New Roman"/>
                <w:b/>
                <w:bCs/>
                <w:i/>
                <w:color w:val="000000"/>
                <w:lang w:eastAsia="lv-LV"/>
              </w:rPr>
              <w:t>NACE 2</w:t>
            </w:r>
            <w:r w:rsidRPr="00654F1F">
              <w:rPr>
                <w:rFonts w:ascii="Times New Roman" w:eastAsia="Times New Roman" w:hAnsi="Times New Roman"/>
                <w:b/>
                <w:bCs/>
                <w:color w:val="000000"/>
                <w:lang w:eastAsia="lv-LV"/>
              </w:rPr>
              <w:t xml:space="preserve"> kods</w:t>
            </w:r>
          </w:p>
        </w:tc>
        <w:tc>
          <w:tcPr>
            <w:tcW w:w="1986" w:type="dxa"/>
            <w:vMerge w:val="restart"/>
            <w:shd w:val="clear" w:color="auto" w:fill="95B3D7"/>
            <w:vAlign w:val="center"/>
            <w:hideMark/>
          </w:tcPr>
          <w:p w:rsidR="00C806BB" w:rsidRPr="00654F1F" w:rsidRDefault="00C806BB" w:rsidP="00C43315">
            <w:pPr>
              <w:spacing w:after="0" w:line="240" w:lineRule="auto"/>
              <w:jc w:val="center"/>
              <w:rPr>
                <w:rFonts w:ascii="Times New Roman" w:eastAsia="Times New Roman" w:hAnsi="Times New Roman"/>
                <w:b/>
                <w:bCs/>
                <w:color w:val="000000"/>
                <w:lang w:eastAsia="lv-LV"/>
              </w:rPr>
            </w:pPr>
            <w:r w:rsidRPr="00654F1F">
              <w:rPr>
                <w:rFonts w:ascii="Times New Roman" w:eastAsia="Times New Roman" w:hAnsi="Times New Roman"/>
                <w:b/>
                <w:bCs/>
                <w:i/>
                <w:color w:val="000000"/>
                <w:lang w:eastAsia="lv-LV"/>
              </w:rPr>
              <w:t xml:space="preserve">NACE 2 </w:t>
            </w:r>
            <w:r w:rsidRPr="00654F1F">
              <w:rPr>
                <w:rFonts w:ascii="Times New Roman" w:eastAsia="Times New Roman" w:hAnsi="Times New Roman"/>
                <w:b/>
                <w:bCs/>
                <w:color w:val="000000"/>
                <w:lang w:eastAsia="lv-LV"/>
              </w:rPr>
              <w:t>nosaukums</w:t>
            </w:r>
          </w:p>
        </w:tc>
        <w:tc>
          <w:tcPr>
            <w:tcW w:w="5712" w:type="dxa"/>
            <w:gridSpan w:val="4"/>
            <w:shd w:val="clear" w:color="auto" w:fill="95B3D7"/>
          </w:tcPr>
          <w:p w:rsidR="00C806BB" w:rsidRPr="00654F1F" w:rsidRDefault="00C806BB" w:rsidP="00C43315">
            <w:pPr>
              <w:spacing w:after="0" w:line="240" w:lineRule="auto"/>
              <w:jc w:val="center"/>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Nodokļu maksātāju skaits uz 15.08.2013.</w:t>
            </w:r>
          </w:p>
        </w:tc>
      </w:tr>
      <w:tr w:rsidR="00C806BB" w:rsidRPr="00654F1F" w:rsidTr="005133F0">
        <w:trPr>
          <w:trHeight w:val="810"/>
        </w:trPr>
        <w:tc>
          <w:tcPr>
            <w:tcW w:w="957" w:type="dxa"/>
            <w:vMerge/>
            <w:shd w:val="clear" w:color="auto" w:fill="95B3D7"/>
            <w:hideMark/>
          </w:tcPr>
          <w:p w:rsidR="00C806BB" w:rsidRPr="00654F1F" w:rsidRDefault="00C806BB" w:rsidP="00C43315">
            <w:pPr>
              <w:spacing w:after="0" w:line="240" w:lineRule="auto"/>
              <w:rPr>
                <w:rFonts w:ascii="Times New Roman" w:eastAsia="Times New Roman" w:hAnsi="Times New Roman"/>
                <w:b/>
                <w:bCs/>
                <w:color w:val="000000"/>
                <w:lang w:eastAsia="lv-LV"/>
              </w:rPr>
            </w:pPr>
          </w:p>
        </w:tc>
        <w:tc>
          <w:tcPr>
            <w:tcW w:w="1986" w:type="dxa"/>
            <w:vMerge/>
            <w:shd w:val="clear" w:color="auto" w:fill="95B3D7"/>
            <w:hideMark/>
          </w:tcPr>
          <w:p w:rsidR="00C806BB" w:rsidRPr="00654F1F" w:rsidRDefault="00C806BB" w:rsidP="00C43315">
            <w:pPr>
              <w:spacing w:after="0" w:line="240" w:lineRule="auto"/>
              <w:rPr>
                <w:rFonts w:ascii="Times New Roman" w:eastAsia="Times New Roman" w:hAnsi="Times New Roman"/>
                <w:bCs/>
                <w:color w:val="000000"/>
                <w:lang w:eastAsia="lv-LV"/>
              </w:rPr>
            </w:pPr>
          </w:p>
        </w:tc>
        <w:tc>
          <w:tcPr>
            <w:tcW w:w="1276" w:type="dxa"/>
            <w:shd w:val="clear" w:color="auto" w:fill="95B3D7"/>
            <w:vAlign w:val="center"/>
            <w:hideMark/>
          </w:tcPr>
          <w:p w:rsidR="00C806BB" w:rsidRPr="00654F1F" w:rsidRDefault="00C806BB"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juridiskās personas</w:t>
            </w:r>
          </w:p>
        </w:tc>
        <w:tc>
          <w:tcPr>
            <w:tcW w:w="1744" w:type="dxa"/>
            <w:shd w:val="clear" w:color="auto" w:fill="95B3D7"/>
            <w:noWrap/>
            <w:vAlign w:val="center"/>
          </w:tcPr>
          <w:p w:rsidR="00C806BB" w:rsidRPr="00654F1F" w:rsidRDefault="00C806BB"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fiziskās personas – saimnieciskās darbības veicēji</w:t>
            </w:r>
          </w:p>
        </w:tc>
        <w:tc>
          <w:tcPr>
            <w:tcW w:w="1754" w:type="dxa"/>
            <w:shd w:val="clear" w:color="auto" w:fill="95B3D7"/>
            <w:noWrap/>
            <w:vAlign w:val="center"/>
          </w:tcPr>
          <w:p w:rsidR="00C806BB" w:rsidRPr="00654F1F" w:rsidRDefault="00C806BB"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t.sk. individuālie komersanti</w:t>
            </w:r>
          </w:p>
        </w:tc>
        <w:tc>
          <w:tcPr>
            <w:tcW w:w="938" w:type="dxa"/>
            <w:shd w:val="clear" w:color="auto" w:fill="95B3D7"/>
            <w:vAlign w:val="center"/>
          </w:tcPr>
          <w:p w:rsidR="00C806BB" w:rsidRPr="00654F1F" w:rsidRDefault="00C806BB"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KOPĀ</w:t>
            </w:r>
          </w:p>
        </w:tc>
      </w:tr>
      <w:tr w:rsidR="00C806BB" w:rsidRPr="00654F1F" w:rsidTr="005133F0">
        <w:trPr>
          <w:trHeight w:val="510"/>
        </w:trPr>
        <w:tc>
          <w:tcPr>
            <w:tcW w:w="957" w:type="dxa"/>
            <w:shd w:val="clear" w:color="auto" w:fill="95B3D7"/>
            <w:vAlign w:val="center"/>
            <w:hideMark/>
          </w:tcPr>
          <w:p w:rsidR="00C806BB" w:rsidRPr="00654F1F" w:rsidRDefault="00C806BB"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8623</w:t>
            </w:r>
          </w:p>
        </w:tc>
        <w:tc>
          <w:tcPr>
            <w:tcW w:w="1986" w:type="dxa"/>
            <w:shd w:val="clear" w:color="auto" w:fill="DBE5F1"/>
            <w:vAlign w:val="center"/>
          </w:tcPr>
          <w:p w:rsidR="00C806BB" w:rsidRPr="00654F1F" w:rsidRDefault="00C806BB" w:rsidP="00C43315">
            <w:pPr>
              <w:spacing w:after="0" w:line="240" w:lineRule="auto"/>
              <w:jc w:val="center"/>
              <w:rPr>
                <w:rFonts w:ascii="Times New Roman" w:eastAsia="Times New Roman" w:hAnsi="Times New Roman"/>
                <w:lang w:eastAsia="lv-LV"/>
              </w:rPr>
            </w:pPr>
            <w:r w:rsidRPr="00654F1F">
              <w:rPr>
                <w:rFonts w:ascii="Times New Roman" w:eastAsia="Times New Roman" w:hAnsi="Times New Roman"/>
                <w:lang w:eastAsia="lv-LV"/>
              </w:rPr>
              <w:t>Zobārstu prakse</w:t>
            </w:r>
          </w:p>
        </w:tc>
        <w:tc>
          <w:tcPr>
            <w:tcW w:w="1276" w:type="dxa"/>
            <w:shd w:val="clear" w:color="auto" w:fill="DBE5F1"/>
            <w:noWrap/>
            <w:vAlign w:val="center"/>
            <w:hideMark/>
          </w:tcPr>
          <w:p w:rsidR="00C806BB" w:rsidRPr="00654F1F" w:rsidRDefault="00C806BB" w:rsidP="00C43315">
            <w:pPr>
              <w:spacing w:after="0" w:line="240" w:lineRule="auto"/>
              <w:jc w:val="center"/>
              <w:rPr>
                <w:rFonts w:ascii="Times New Roman" w:hAnsi="Times New Roman"/>
                <w:color w:val="000000"/>
              </w:rPr>
            </w:pPr>
            <w:r w:rsidRPr="00654F1F">
              <w:rPr>
                <w:rFonts w:ascii="Times New Roman" w:hAnsi="Times New Roman"/>
                <w:color w:val="000000"/>
              </w:rPr>
              <w:t>384</w:t>
            </w:r>
          </w:p>
        </w:tc>
        <w:tc>
          <w:tcPr>
            <w:tcW w:w="1744" w:type="dxa"/>
            <w:shd w:val="clear" w:color="auto" w:fill="DBE5F1"/>
            <w:noWrap/>
            <w:vAlign w:val="center"/>
          </w:tcPr>
          <w:p w:rsidR="00C806BB" w:rsidRPr="00654F1F" w:rsidRDefault="00C806BB" w:rsidP="00C43315">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548</w:t>
            </w:r>
          </w:p>
        </w:tc>
        <w:tc>
          <w:tcPr>
            <w:tcW w:w="1754" w:type="dxa"/>
            <w:shd w:val="clear" w:color="auto" w:fill="DBE5F1"/>
            <w:noWrap/>
            <w:vAlign w:val="center"/>
          </w:tcPr>
          <w:p w:rsidR="00C806BB" w:rsidRPr="00654F1F" w:rsidRDefault="00C806BB" w:rsidP="00C43315">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34</w:t>
            </w:r>
          </w:p>
        </w:tc>
        <w:tc>
          <w:tcPr>
            <w:tcW w:w="938" w:type="dxa"/>
            <w:shd w:val="clear" w:color="auto" w:fill="DBE5F1"/>
            <w:vAlign w:val="center"/>
          </w:tcPr>
          <w:p w:rsidR="00C806BB" w:rsidRPr="00654F1F" w:rsidRDefault="00C806BB" w:rsidP="00C43315">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932</w:t>
            </w:r>
          </w:p>
        </w:tc>
      </w:tr>
    </w:tbl>
    <w:p w:rsidR="005133F0" w:rsidRDefault="005133F0" w:rsidP="00B34113">
      <w:pPr>
        <w:spacing w:after="0" w:line="240" w:lineRule="auto"/>
        <w:rPr>
          <w:rFonts w:ascii="Times New Roman" w:hAnsi="Times New Roman"/>
          <w:b/>
          <w:sz w:val="28"/>
          <w:szCs w:val="28"/>
        </w:rPr>
      </w:pPr>
    </w:p>
    <w:p w:rsidR="00B34113" w:rsidRPr="006D561A" w:rsidRDefault="00B34113" w:rsidP="006D561A">
      <w:pPr>
        <w:pStyle w:val="ListParagraph"/>
        <w:numPr>
          <w:ilvl w:val="0"/>
          <w:numId w:val="1"/>
        </w:numPr>
        <w:spacing w:after="0" w:line="240" w:lineRule="auto"/>
        <w:ind w:left="426" w:hanging="426"/>
        <w:rPr>
          <w:rFonts w:ascii="Times New Roman" w:hAnsi="Times New Roman"/>
          <w:b/>
          <w:sz w:val="28"/>
          <w:szCs w:val="28"/>
        </w:rPr>
      </w:pPr>
      <w:r w:rsidRPr="006D561A">
        <w:rPr>
          <w:rFonts w:ascii="Times New Roman" w:hAnsi="Times New Roman"/>
          <w:b/>
          <w:sz w:val="28"/>
          <w:szCs w:val="28"/>
        </w:rPr>
        <w:t>Valsts kopbudžeta ieņēmumi</w:t>
      </w:r>
    </w:p>
    <w:p w:rsidR="00B34113" w:rsidRDefault="00B34113" w:rsidP="00B34113">
      <w:pPr>
        <w:spacing w:after="0" w:line="240" w:lineRule="auto"/>
        <w:rPr>
          <w:rFonts w:ascii="Times New Roman" w:hAnsi="Times New Roman"/>
          <w:b/>
          <w:sz w:val="28"/>
          <w:szCs w:val="28"/>
        </w:rPr>
      </w:pPr>
    </w:p>
    <w:p w:rsidR="00B34113" w:rsidRPr="00715B8E" w:rsidRDefault="00B34113" w:rsidP="00B34113">
      <w:pPr>
        <w:spacing w:after="0" w:line="240" w:lineRule="auto"/>
        <w:ind w:firstLine="720"/>
        <w:jc w:val="both"/>
        <w:rPr>
          <w:rFonts w:ascii="Times New Roman" w:hAnsi="Times New Roman"/>
          <w:sz w:val="26"/>
          <w:szCs w:val="26"/>
        </w:rPr>
      </w:pPr>
      <w:r w:rsidRPr="00715B8E">
        <w:rPr>
          <w:rFonts w:ascii="Times New Roman" w:hAnsi="Times New Roman"/>
          <w:sz w:val="26"/>
          <w:szCs w:val="26"/>
        </w:rPr>
        <w:t>VID administrētajos budžeta ieņēmumos gan 2012.gadā, gan 2013.gada deviņos mēnešos ieņēmumu īpatsvars no zobārstniecības nozares nodokļu maksātājiem ir 0,1 %.</w:t>
      </w:r>
    </w:p>
    <w:p w:rsidR="00B34113" w:rsidRPr="00715B8E" w:rsidRDefault="00B34113" w:rsidP="00B34113">
      <w:pPr>
        <w:spacing w:after="0" w:line="240" w:lineRule="auto"/>
        <w:ind w:firstLine="720"/>
        <w:jc w:val="both"/>
        <w:rPr>
          <w:rFonts w:ascii="Times New Roman" w:hAnsi="Times New Roman"/>
          <w:sz w:val="26"/>
          <w:szCs w:val="26"/>
        </w:rPr>
      </w:pPr>
      <w:r w:rsidRPr="00715B8E">
        <w:rPr>
          <w:rFonts w:ascii="Times New Roman" w:hAnsi="Times New Roman"/>
          <w:sz w:val="26"/>
          <w:szCs w:val="26"/>
        </w:rPr>
        <w:t xml:space="preserve">VID administrētie valsts budžeta ieņēmumi 2013.gada deviņos mēnešos no nozares nodokļu maksātājiem ir 5,19 milj. latu </w:t>
      </w:r>
      <w:r w:rsidRPr="00715B8E">
        <w:rPr>
          <w:rFonts w:ascii="Times New Roman" w:hAnsi="Times New Roman"/>
          <w:i/>
          <w:color w:val="000000" w:themeColor="text1"/>
          <w:sz w:val="26"/>
          <w:szCs w:val="26"/>
        </w:rPr>
        <w:t>(skatīt 1.attēlu)</w:t>
      </w:r>
      <w:r w:rsidRPr="00715B8E">
        <w:rPr>
          <w:rFonts w:ascii="Times New Roman" w:hAnsi="Times New Roman"/>
          <w:sz w:val="26"/>
          <w:szCs w:val="26"/>
        </w:rPr>
        <w:t>, kas ir par 0,81 milj. latu jeb 18,6 % vairāk nekā 2012.gada attiecīgajā periodā un skaidrojams galvenokārt ar VSAOI un IIN ieņēmumu palielināšanos.</w:t>
      </w:r>
    </w:p>
    <w:p w:rsidR="00B34113" w:rsidRPr="00715B8E" w:rsidRDefault="00B34113" w:rsidP="00B34113">
      <w:pPr>
        <w:spacing w:after="0" w:line="240" w:lineRule="auto"/>
        <w:ind w:firstLine="720"/>
        <w:jc w:val="both"/>
        <w:rPr>
          <w:rFonts w:ascii="Times New Roman" w:hAnsi="Times New Roman"/>
          <w:sz w:val="26"/>
          <w:szCs w:val="26"/>
        </w:rPr>
      </w:pPr>
      <w:r w:rsidRPr="00715B8E">
        <w:rPr>
          <w:rFonts w:ascii="Times New Roman" w:hAnsi="Times New Roman"/>
          <w:sz w:val="26"/>
          <w:szCs w:val="26"/>
        </w:rPr>
        <w:t xml:space="preserve">2012.gadā VID administrētie valsts budžeta ieņēmumi no nozares nodokļu maksātājiem ir 5,99 milj. latu </w:t>
      </w:r>
      <w:r w:rsidRPr="00715B8E">
        <w:rPr>
          <w:rFonts w:ascii="Times New Roman" w:hAnsi="Times New Roman"/>
          <w:i/>
          <w:color w:val="000000" w:themeColor="text1"/>
          <w:sz w:val="26"/>
          <w:szCs w:val="26"/>
        </w:rPr>
        <w:t>(skatīt 1.attēlu)</w:t>
      </w:r>
      <w:r w:rsidRPr="00715B8E">
        <w:rPr>
          <w:rFonts w:ascii="Times New Roman" w:hAnsi="Times New Roman"/>
          <w:sz w:val="26"/>
          <w:szCs w:val="26"/>
        </w:rPr>
        <w:t>, kas ir par 0,69 milj. latu jeb 13,1 % vairāk nekā 2011.gadā un tāpat galvenokārt saistīts ar VSAOI un IIN ieņēmumu palielināšanos.</w:t>
      </w:r>
    </w:p>
    <w:p w:rsidR="00B34113" w:rsidRDefault="00B34113" w:rsidP="00B34113">
      <w:pPr>
        <w:spacing w:before="120" w:after="120"/>
        <w:jc w:val="center"/>
        <w:rPr>
          <w:rFonts w:ascii="Times New Roman" w:hAnsi="Times New Roman"/>
          <w:sz w:val="26"/>
          <w:szCs w:val="26"/>
          <w:highlight w:val="cyan"/>
        </w:rPr>
      </w:pPr>
      <w:r>
        <w:rPr>
          <w:noProof/>
          <w:lang w:eastAsia="lv-LV"/>
        </w:rPr>
        <w:drawing>
          <wp:inline distT="0" distB="0" distL="0" distR="0">
            <wp:extent cx="5156200" cy="3081867"/>
            <wp:effectExtent l="0" t="0" r="6350" b="44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4113" w:rsidRPr="009532F2" w:rsidRDefault="00B34113" w:rsidP="00B34113">
      <w:pPr>
        <w:spacing w:after="0" w:line="240" w:lineRule="auto"/>
        <w:ind w:firstLine="720"/>
        <w:jc w:val="both"/>
        <w:rPr>
          <w:rFonts w:ascii="Times New Roman" w:hAnsi="Times New Roman"/>
          <w:sz w:val="26"/>
          <w:szCs w:val="26"/>
        </w:rPr>
      </w:pPr>
      <w:r w:rsidRPr="009532F2">
        <w:rPr>
          <w:rFonts w:ascii="Times New Roman" w:hAnsi="Times New Roman"/>
          <w:sz w:val="26"/>
          <w:szCs w:val="26"/>
        </w:rPr>
        <w:lastRenderedPageBreak/>
        <w:t xml:space="preserve">Pēc apjoma lielākais ieņēmumu pieaugums 2013.gada deviņos mēnešos, salīdzinot ar 2012.gada attiecīgo periodu, par 328,74 tūkst. latu jeb 13,0 % ir </w:t>
      </w:r>
      <w:r w:rsidRPr="009532F2">
        <w:rPr>
          <w:rFonts w:ascii="Times New Roman" w:hAnsi="Times New Roman"/>
          <w:b/>
          <w:sz w:val="26"/>
          <w:szCs w:val="26"/>
        </w:rPr>
        <w:t>VSAOI</w:t>
      </w:r>
      <w:r w:rsidRPr="009532F2">
        <w:rPr>
          <w:rFonts w:ascii="Times New Roman" w:hAnsi="Times New Roman"/>
          <w:sz w:val="26"/>
          <w:szCs w:val="26"/>
        </w:rPr>
        <w:t xml:space="preserve">. </w:t>
      </w:r>
      <w:r w:rsidRPr="009532F2">
        <w:rPr>
          <w:rFonts w:ascii="Times New Roman" w:hAnsi="Times New Roman"/>
          <w:b/>
          <w:sz w:val="26"/>
          <w:szCs w:val="26"/>
        </w:rPr>
        <w:t>IIN</w:t>
      </w:r>
      <w:r w:rsidRPr="009532F2">
        <w:rPr>
          <w:rFonts w:ascii="Times New Roman" w:hAnsi="Times New Roman"/>
          <w:sz w:val="26"/>
          <w:szCs w:val="26"/>
        </w:rPr>
        <w:t xml:space="preserve"> ieņēmumi šajā periodā pieauguši par 216,60 tūkst. latu jeb 14,9 %. VSAOI un IIN ieņēmumi 2013.gada deviņos mēnešos ir 87,4 % no kopējiem šīs nozares budžeta ieņēmumiem (2012.gadā – 90,9 %). VSAOI un IIN ieņēmumu kāpumu nodrošināja gan nodarbināto skaita, gan ienākumu palielināšanās. </w:t>
      </w:r>
    </w:p>
    <w:p w:rsidR="00B34113" w:rsidRPr="009532F2" w:rsidRDefault="00B34113" w:rsidP="00B34113">
      <w:pPr>
        <w:spacing w:after="0" w:line="240" w:lineRule="auto"/>
        <w:ind w:firstLine="720"/>
        <w:jc w:val="both"/>
        <w:rPr>
          <w:rFonts w:ascii="Times New Roman" w:hAnsi="Times New Roman"/>
          <w:sz w:val="26"/>
          <w:szCs w:val="26"/>
        </w:rPr>
      </w:pPr>
      <w:r w:rsidRPr="009532F2">
        <w:rPr>
          <w:rFonts w:ascii="Times New Roman" w:hAnsi="Times New Roman"/>
          <w:b/>
          <w:sz w:val="26"/>
          <w:szCs w:val="26"/>
        </w:rPr>
        <w:t>PVN</w:t>
      </w:r>
      <w:r w:rsidRPr="009532F2">
        <w:rPr>
          <w:rFonts w:ascii="Times New Roman" w:hAnsi="Times New Roman"/>
          <w:sz w:val="26"/>
          <w:szCs w:val="26"/>
        </w:rPr>
        <w:t xml:space="preserve"> ieņēmumi 2013.gada deviņos mēnešos, salīdzinot ar 2012.gada attiecīgo periodu, pieauguši par 66,54 tūkst. latu jeb 2,2 reizes, kas saistīts ar iemaksu pieaugumu. 2013.gada deviņos mēnešos PVN iemaksas tiek veiktas atbilstoši iepriekšējā gada pēdējā taksācijas perioda (decembra, 4.ceturkšņa vai 2.pusgada) un 2013.gada astoņu mēnešu, 1. un 2.ceturkšņa un 1.pusgada PVN deklarāciju rezultātiem (turpmāk – pārskata periods). Saskaņā ar PVN deklarācijām 2013.gada pārskata periodā, salīdzinot ar iepriekšējā gada attiecīgo periodu, kopējā darījumu vērtība palielinājusies par 2,0 %, kopējā budžetā iemaksājamā summa – par 5,9 %.</w:t>
      </w:r>
    </w:p>
    <w:p w:rsidR="00B34113" w:rsidRPr="009532F2" w:rsidRDefault="00B34113" w:rsidP="00B34113">
      <w:pPr>
        <w:spacing w:after="0" w:line="240" w:lineRule="auto"/>
        <w:ind w:firstLine="720"/>
        <w:jc w:val="both"/>
        <w:rPr>
          <w:rFonts w:ascii="Times New Roman" w:hAnsi="Times New Roman"/>
          <w:sz w:val="26"/>
          <w:szCs w:val="26"/>
        </w:rPr>
      </w:pPr>
      <w:r w:rsidRPr="009532F2">
        <w:rPr>
          <w:rFonts w:ascii="Times New Roman" w:hAnsi="Times New Roman"/>
          <w:b/>
          <w:sz w:val="26"/>
          <w:szCs w:val="26"/>
        </w:rPr>
        <w:t>UIN</w:t>
      </w:r>
      <w:r w:rsidRPr="009532F2">
        <w:rPr>
          <w:rFonts w:ascii="Times New Roman" w:hAnsi="Times New Roman"/>
          <w:sz w:val="26"/>
          <w:szCs w:val="26"/>
        </w:rPr>
        <w:t xml:space="preserve"> ieņēmumi 2013.gada deviņos mēnešos, salīdzinot ar iepriekšējā gada attiecīgo periodu, palielinājušies par 154,67 tūkst. latu jeb 75,2 %, kas skaidrojams ar iemaksu pieaugumu. Saskaņā ar informāciju no uzņēmumu ienākuma nodokļa deklarācijām par 2012.gadu, salīdzinot ar deklarācijām par 2011.gadu, aprēķinātā nodokļa summa palielinājusies par 106,52 tūkst. latu jeb 33,2 %.</w:t>
      </w:r>
    </w:p>
    <w:p w:rsidR="00B34113" w:rsidRPr="009532F2" w:rsidRDefault="00B34113" w:rsidP="00B34113">
      <w:pPr>
        <w:spacing w:after="0" w:line="240" w:lineRule="auto"/>
        <w:ind w:firstLine="720"/>
        <w:jc w:val="both"/>
        <w:rPr>
          <w:rFonts w:ascii="Times New Roman" w:hAnsi="Times New Roman"/>
          <w:sz w:val="26"/>
          <w:szCs w:val="26"/>
        </w:rPr>
      </w:pPr>
      <w:r w:rsidRPr="009532F2">
        <w:rPr>
          <w:rFonts w:ascii="Times New Roman" w:hAnsi="Times New Roman"/>
          <w:b/>
          <w:sz w:val="26"/>
          <w:szCs w:val="26"/>
        </w:rPr>
        <w:t>MUN</w:t>
      </w:r>
      <w:r w:rsidRPr="009532F2">
        <w:rPr>
          <w:rFonts w:ascii="Times New Roman" w:hAnsi="Times New Roman"/>
          <w:sz w:val="26"/>
          <w:szCs w:val="26"/>
        </w:rPr>
        <w:t xml:space="preserve"> ieņēmumi 2013.gada deviņos mēnešos, salīdzinot ar 2012.gada attiecīgo periodu, pieauguši par 42,54 tūkst. latu jeb 50,5 %, kas skaidrojams ar </w:t>
      </w:r>
      <w:proofErr w:type="spellStart"/>
      <w:r w:rsidRPr="009532F2">
        <w:rPr>
          <w:rFonts w:ascii="Times New Roman" w:hAnsi="Times New Roman"/>
          <w:sz w:val="26"/>
          <w:szCs w:val="26"/>
        </w:rPr>
        <w:t>mikrouzņēmumu</w:t>
      </w:r>
      <w:proofErr w:type="spellEnd"/>
      <w:r w:rsidRPr="009532F2">
        <w:rPr>
          <w:rFonts w:ascii="Times New Roman" w:hAnsi="Times New Roman"/>
          <w:sz w:val="26"/>
          <w:szCs w:val="26"/>
        </w:rPr>
        <w:t xml:space="preserve"> apgrozījuma pieaugumu. </w:t>
      </w:r>
      <w:proofErr w:type="spellStart"/>
      <w:r w:rsidRPr="009532F2">
        <w:rPr>
          <w:rFonts w:ascii="Times New Roman" w:hAnsi="Times New Roman"/>
          <w:sz w:val="26"/>
          <w:szCs w:val="26"/>
        </w:rPr>
        <w:t>Mikrouzņēmumu</w:t>
      </w:r>
      <w:proofErr w:type="spellEnd"/>
      <w:r w:rsidRPr="009532F2">
        <w:rPr>
          <w:rFonts w:ascii="Times New Roman" w:hAnsi="Times New Roman"/>
          <w:sz w:val="26"/>
          <w:szCs w:val="26"/>
        </w:rPr>
        <w:t xml:space="preserve"> nodokli 2013.gada deviņos mēnešos maksāja par 2012.gada 4.ceturkšņa un 2013.gada 1. un 2.ceturkšņa rezultātiem. Saskaņā ar informāciju no </w:t>
      </w:r>
      <w:proofErr w:type="spellStart"/>
      <w:r w:rsidRPr="009532F2">
        <w:rPr>
          <w:rFonts w:ascii="Times New Roman" w:hAnsi="Times New Roman"/>
          <w:sz w:val="26"/>
          <w:szCs w:val="26"/>
        </w:rPr>
        <w:t>mikrouzņēmumu</w:t>
      </w:r>
      <w:proofErr w:type="spellEnd"/>
      <w:r w:rsidRPr="009532F2">
        <w:rPr>
          <w:rFonts w:ascii="Times New Roman" w:hAnsi="Times New Roman"/>
          <w:sz w:val="26"/>
          <w:szCs w:val="26"/>
        </w:rPr>
        <w:t xml:space="preserve"> nodokļa deklarācijām par 2012.gada 4.ceturksni un 2013.gada 1. un 2.ceturksni, salīdzinot ar 2011.gada 4.ceturksni un 2012.gada 1. un 2.ceturksni, </w:t>
      </w:r>
      <w:proofErr w:type="spellStart"/>
      <w:r w:rsidRPr="009532F2">
        <w:rPr>
          <w:rFonts w:ascii="Times New Roman" w:hAnsi="Times New Roman"/>
          <w:sz w:val="26"/>
          <w:szCs w:val="26"/>
        </w:rPr>
        <w:t>mikrouzņēmumu</w:t>
      </w:r>
      <w:proofErr w:type="spellEnd"/>
      <w:r w:rsidRPr="009532F2">
        <w:rPr>
          <w:rFonts w:ascii="Times New Roman" w:hAnsi="Times New Roman"/>
          <w:sz w:val="26"/>
          <w:szCs w:val="26"/>
        </w:rPr>
        <w:t xml:space="preserve"> nodokļa maksātāju apgrozījums ir palielinājies par 40,8 %.</w:t>
      </w:r>
    </w:p>
    <w:p w:rsidR="00B34113" w:rsidRDefault="00B34113" w:rsidP="00B34113">
      <w:pPr>
        <w:spacing w:after="0" w:line="240" w:lineRule="auto"/>
        <w:rPr>
          <w:rFonts w:ascii="Times New Roman" w:hAnsi="Times New Roman"/>
          <w:sz w:val="28"/>
          <w:szCs w:val="28"/>
        </w:rPr>
      </w:pPr>
    </w:p>
    <w:p w:rsidR="00B34113" w:rsidRPr="009532F2" w:rsidRDefault="00B34113" w:rsidP="009532F2">
      <w:pPr>
        <w:pStyle w:val="ListParagraph"/>
        <w:numPr>
          <w:ilvl w:val="0"/>
          <w:numId w:val="1"/>
        </w:numPr>
        <w:spacing w:after="0" w:line="240" w:lineRule="auto"/>
        <w:ind w:left="426" w:hanging="426"/>
        <w:rPr>
          <w:rFonts w:ascii="Times New Roman" w:hAnsi="Times New Roman"/>
          <w:b/>
          <w:sz w:val="28"/>
          <w:szCs w:val="28"/>
        </w:rPr>
      </w:pPr>
      <w:r w:rsidRPr="009532F2">
        <w:rPr>
          <w:rFonts w:ascii="Times New Roman" w:hAnsi="Times New Roman"/>
          <w:b/>
          <w:sz w:val="28"/>
          <w:szCs w:val="28"/>
        </w:rPr>
        <w:t>Nodokļu pārskatu iesniegšanas disciplīna</w:t>
      </w:r>
    </w:p>
    <w:p w:rsidR="00B34113" w:rsidRDefault="00B34113" w:rsidP="00B34113">
      <w:pPr>
        <w:spacing w:after="0" w:line="240" w:lineRule="auto"/>
        <w:rPr>
          <w:rFonts w:ascii="Times New Roman" w:hAnsi="Times New Roman"/>
          <w:b/>
          <w:sz w:val="28"/>
          <w:szCs w:val="28"/>
        </w:rPr>
      </w:pPr>
    </w:p>
    <w:p w:rsidR="00B34113" w:rsidRPr="009532F2" w:rsidRDefault="00B34113" w:rsidP="00B34113">
      <w:pPr>
        <w:spacing w:after="0" w:line="240" w:lineRule="auto"/>
        <w:ind w:firstLine="720"/>
        <w:jc w:val="both"/>
        <w:rPr>
          <w:rFonts w:ascii="Times New Roman" w:hAnsi="Times New Roman"/>
          <w:sz w:val="26"/>
          <w:szCs w:val="26"/>
        </w:rPr>
      </w:pPr>
      <w:r w:rsidRPr="009532F2">
        <w:rPr>
          <w:rFonts w:ascii="Times New Roman" w:hAnsi="Times New Roman"/>
          <w:sz w:val="26"/>
          <w:szCs w:val="26"/>
        </w:rPr>
        <w:t xml:space="preserve">Nozares nodokļu maksātāju nodokļu pārskatu iesniegšanas disciplīna 2012.gadā, salīdzinot ar 2011.gadu, ir pasliktinājusies – palielinājies gan neiesniegto pārskatu, gan kavēti iesniegto pārskatu īpatsvars. 2012.gadā, salīdzinot ar 2011.gadu, samazinājies ir tikai neiesniegto uzņēmumu ienākuma nodokļa deklarāciju īpatsvars un kavēti iesniegto darba devēju un pašnodarbināto ziņojumu īpatsvars </w:t>
      </w:r>
      <w:r w:rsidR="009532F2" w:rsidRPr="009532F2">
        <w:rPr>
          <w:rFonts w:ascii="Times New Roman" w:hAnsi="Times New Roman"/>
          <w:i/>
          <w:color w:val="000000" w:themeColor="text1"/>
          <w:sz w:val="26"/>
          <w:szCs w:val="26"/>
        </w:rPr>
        <w:t xml:space="preserve">(skatīt </w:t>
      </w:r>
      <w:r w:rsidR="009532F2">
        <w:rPr>
          <w:rFonts w:ascii="Times New Roman" w:hAnsi="Times New Roman"/>
          <w:i/>
          <w:color w:val="000000" w:themeColor="text1"/>
          <w:sz w:val="26"/>
          <w:szCs w:val="26"/>
        </w:rPr>
        <w:t>2</w:t>
      </w:r>
      <w:r w:rsidRPr="009532F2">
        <w:rPr>
          <w:rFonts w:ascii="Times New Roman" w:hAnsi="Times New Roman"/>
          <w:i/>
          <w:color w:val="000000" w:themeColor="text1"/>
          <w:sz w:val="26"/>
          <w:szCs w:val="26"/>
        </w:rPr>
        <w:t>.tabulu).</w:t>
      </w:r>
    </w:p>
    <w:p w:rsidR="009532F2" w:rsidRDefault="009532F2">
      <w:pPr>
        <w:spacing w:after="0" w:line="240" w:lineRule="auto"/>
        <w:rPr>
          <w:rFonts w:ascii="Times New Roman" w:hAnsi="Times New Roman"/>
          <w:color w:val="000000" w:themeColor="text1"/>
          <w:sz w:val="26"/>
          <w:szCs w:val="26"/>
        </w:rPr>
      </w:pPr>
      <w:r>
        <w:rPr>
          <w:rFonts w:ascii="Times New Roman" w:hAnsi="Times New Roman"/>
          <w:color w:val="000000" w:themeColor="text1"/>
          <w:sz w:val="26"/>
          <w:szCs w:val="26"/>
        </w:rPr>
        <w:br w:type="page"/>
      </w:r>
    </w:p>
    <w:p w:rsidR="00B34113" w:rsidRPr="009532F2" w:rsidRDefault="009532F2" w:rsidP="00B34113">
      <w:pPr>
        <w:spacing w:after="0" w:line="240" w:lineRule="auto"/>
        <w:ind w:firstLine="567"/>
        <w:jc w:val="right"/>
        <w:rPr>
          <w:rFonts w:ascii="Times New Roman" w:hAnsi="Times New Roman"/>
          <w:color w:val="000000" w:themeColor="text1"/>
          <w:sz w:val="26"/>
          <w:szCs w:val="26"/>
        </w:rPr>
      </w:pPr>
      <w:r w:rsidRPr="009532F2">
        <w:rPr>
          <w:rFonts w:ascii="Times New Roman" w:hAnsi="Times New Roman"/>
          <w:color w:val="000000" w:themeColor="text1"/>
          <w:sz w:val="26"/>
          <w:szCs w:val="26"/>
        </w:rPr>
        <w:lastRenderedPageBreak/>
        <w:t>2</w:t>
      </w:r>
      <w:r w:rsidR="00B34113" w:rsidRPr="009532F2">
        <w:rPr>
          <w:rFonts w:ascii="Times New Roman" w:hAnsi="Times New Roman"/>
          <w:color w:val="000000" w:themeColor="text1"/>
          <w:sz w:val="26"/>
          <w:szCs w:val="26"/>
        </w:rPr>
        <w:t>.tabula</w:t>
      </w:r>
    </w:p>
    <w:p w:rsidR="00B34113" w:rsidRPr="009532F2" w:rsidRDefault="00B34113" w:rsidP="00B34113">
      <w:pPr>
        <w:spacing w:after="0" w:line="240" w:lineRule="auto"/>
        <w:jc w:val="center"/>
        <w:rPr>
          <w:rFonts w:ascii="Times New Roman" w:hAnsi="Times New Roman"/>
          <w:b/>
          <w:sz w:val="26"/>
          <w:szCs w:val="26"/>
        </w:rPr>
      </w:pPr>
      <w:r w:rsidRPr="009532F2">
        <w:rPr>
          <w:rFonts w:ascii="Times New Roman" w:hAnsi="Times New Roman"/>
          <w:b/>
          <w:sz w:val="26"/>
          <w:szCs w:val="26"/>
        </w:rPr>
        <w:t>Nodokļu pārskatu iesniegšanas disciplīna</w:t>
      </w:r>
    </w:p>
    <w:p w:rsidR="00B34113" w:rsidRDefault="00B34113" w:rsidP="00B34113">
      <w:pPr>
        <w:spacing w:after="0" w:line="240" w:lineRule="auto"/>
        <w:jc w:val="center"/>
        <w:rPr>
          <w:rFonts w:ascii="Times New Roman" w:hAnsi="Times New Roman"/>
          <w:b/>
          <w:sz w:val="28"/>
          <w:szCs w:val="28"/>
        </w:rPr>
      </w:pPr>
    </w:p>
    <w:tbl>
      <w:tblPr>
        <w:tblW w:w="9045" w:type="dxa"/>
        <w:jc w:val="center"/>
        <w:tblInd w:w="93" w:type="dxa"/>
        <w:tblLayout w:type="fixed"/>
        <w:tblLook w:val="04A0" w:firstRow="1" w:lastRow="0" w:firstColumn="1" w:lastColumn="0" w:noHBand="0" w:noVBand="1"/>
      </w:tblPr>
      <w:tblGrid>
        <w:gridCol w:w="1263"/>
        <w:gridCol w:w="2562"/>
        <w:gridCol w:w="2681"/>
        <w:gridCol w:w="2539"/>
      </w:tblGrid>
      <w:tr w:rsidR="00B34113" w:rsidTr="00B34113">
        <w:trPr>
          <w:trHeight w:val="749"/>
          <w:jc w:val="center"/>
        </w:trPr>
        <w:tc>
          <w:tcPr>
            <w:tcW w:w="1264" w:type="dxa"/>
            <w:tcBorders>
              <w:top w:val="single" w:sz="8" w:space="0" w:color="FFFFFF"/>
              <w:left w:val="single" w:sz="8" w:space="0" w:color="FFFFFF"/>
              <w:bottom w:val="single" w:sz="12" w:space="0" w:color="FFFFFF"/>
              <w:right w:val="single" w:sz="8" w:space="0" w:color="FFFFFF"/>
            </w:tcBorders>
            <w:shd w:val="clear" w:color="auto" w:fill="95B3D7"/>
            <w:vAlign w:val="center"/>
            <w:hideMark/>
          </w:tcPr>
          <w:p w:rsidR="00B34113" w:rsidRDefault="00B34113">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Taksācijas gads</w:t>
            </w:r>
          </w:p>
        </w:tc>
        <w:tc>
          <w:tcPr>
            <w:tcW w:w="2562" w:type="dxa"/>
            <w:tcBorders>
              <w:top w:val="single" w:sz="8" w:space="0" w:color="FFFFFF"/>
              <w:left w:val="nil"/>
              <w:bottom w:val="single" w:sz="12" w:space="0" w:color="FFFFFF"/>
              <w:right w:val="single" w:sz="8" w:space="0" w:color="FFFFFF"/>
            </w:tcBorders>
            <w:shd w:val="clear" w:color="auto" w:fill="95B3D7"/>
            <w:vAlign w:val="center"/>
            <w:hideMark/>
          </w:tcPr>
          <w:p w:rsidR="00B34113" w:rsidRDefault="00B34113">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Dokumenta tipa nosaukums</w:t>
            </w:r>
          </w:p>
        </w:tc>
        <w:tc>
          <w:tcPr>
            <w:tcW w:w="2681" w:type="dxa"/>
            <w:tcBorders>
              <w:top w:val="single" w:sz="8" w:space="0" w:color="FFFFFF"/>
              <w:left w:val="nil"/>
              <w:bottom w:val="single" w:sz="12" w:space="0" w:color="FFFFFF"/>
              <w:right w:val="single" w:sz="8" w:space="0" w:color="FFFFFF"/>
            </w:tcBorders>
            <w:shd w:val="clear" w:color="auto" w:fill="95B3D7"/>
            <w:vAlign w:val="center"/>
            <w:hideMark/>
          </w:tcPr>
          <w:p w:rsidR="00B34113" w:rsidRDefault="00B34113">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Neiesniegto dokumentu īpatsvars</w:t>
            </w:r>
          </w:p>
        </w:tc>
        <w:tc>
          <w:tcPr>
            <w:tcW w:w="2539" w:type="dxa"/>
            <w:tcBorders>
              <w:top w:val="single" w:sz="8" w:space="0" w:color="FFFFFF"/>
              <w:left w:val="nil"/>
              <w:bottom w:val="single" w:sz="12" w:space="0" w:color="FFFFFF"/>
              <w:right w:val="single" w:sz="8" w:space="0" w:color="FFFFFF"/>
            </w:tcBorders>
            <w:shd w:val="clear" w:color="auto" w:fill="95B3D7"/>
            <w:vAlign w:val="center"/>
            <w:hideMark/>
          </w:tcPr>
          <w:p w:rsidR="00B34113" w:rsidRDefault="00B34113">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Kavēti iesniegto dokumentu īpatsvars</w:t>
            </w:r>
          </w:p>
        </w:tc>
      </w:tr>
      <w:tr w:rsidR="00B34113" w:rsidTr="00B34113">
        <w:trPr>
          <w:trHeight w:hRule="exact" w:val="356"/>
          <w:jc w:val="center"/>
        </w:trPr>
        <w:tc>
          <w:tcPr>
            <w:tcW w:w="1264" w:type="dxa"/>
            <w:vMerge w:val="restart"/>
            <w:tcBorders>
              <w:top w:val="nil"/>
              <w:left w:val="single" w:sz="8" w:space="0" w:color="FFFFFF"/>
              <w:bottom w:val="single" w:sz="8" w:space="0" w:color="FFFFFF"/>
              <w:right w:val="single" w:sz="12" w:space="0" w:color="FFFFFF"/>
            </w:tcBorders>
            <w:shd w:val="clear" w:color="auto" w:fill="95B3D7"/>
            <w:noWrap/>
            <w:vAlign w:val="center"/>
            <w:hideMark/>
          </w:tcPr>
          <w:p w:rsidR="00B34113" w:rsidRDefault="00B34113">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2011.</w:t>
            </w: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Darba devēja ziņojums</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0,7 %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4,0 %</w:t>
            </w:r>
          </w:p>
        </w:tc>
      </w:tr>
      <w:tr w:rsidR="00B34113" w:rsidTr="00B34113">
        <w:trPr>
          <w:trHeight w:hRule="exact" w:val="394"/>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Pašnodarbinātā  ziņojums</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6,5 %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9,8 %</w:t>
            </w:r>
          </w:p>
        </w:tc>
      </w:tr>
      <w:tr w:rsidR="00B34113" w:rsidTr="00B34113">
        <w:trPr>
          <w:trHeight w:hRule="exact" w:val="394"/>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MUN deklarācija</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0,0 %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22,3 %</w:t>
            </w:r>
          </w:p>
        </w:tc>
      </w:tr>
      <w:tr w:rsidR="00B34113" w:rsidTr="00B34113">
        <w:trPr>
          <w:trHeight w:hRule="exact" w:val="428"/>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PVN mēneša deklarācija</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0,6 %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16,3 %</w:t>
            </w:r>
          </w:p>
        </w:tc>
      </w:tr>
      <w:tr w:rsidR="00B34113" w:rsidTr="00B34113">
        <w:trPr>
          <w:trHeight w:hRule="exact" w:val="428"/>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UIN deklarācija</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2,9 %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8,1 %</w:t>
            </w:r>
          </w:p>
        </w:tc>
      </w:tr>
      <w:tr w:rsidR="00B34113" w:rsidTr="00B34113">
        <w:trPr>
          <w:trHeight w:hRule="exact" w:val="428"/>
          <w:jc w:val="center"/>
        </w:trPr>
        <w:tc>
          <w:tcPr>
            <w:tcW w:w="1264" w:type="dxa"/>
            <w:vMerge w:val="restart"/>
            <w:tcBorders>
              <w:top w:val="nil"/>
              <w:left w:val="single" w:sz="8" w:space="0" w:color="FFFFFF"/>
              <w:bottom w:val="single" w:sz="8" w:space="0" w:color="FFFFFF"/>
              <w:right w:val="single" w:sz="12" w:space="0" w:color="FFFFFF"/>
            </w:tcBorders>
            <w:shd w:val="clear" w:color="auto" w:fill="95B3D7"/>
            <w:noWrap/>
            <w:vAlign w:val="center"/>
            <w:hideMark/>
          </w:tcPr>
          <w:p w:rsidR="00B34113" w:rsidRDefault="00B34113">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2012.</w:t>
            </w: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Darba devēja ziņojums</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0,9 %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3,9 %</w:t>
            </w:r>
          </w:p>
        </w:tc>
      </w:tr>
      <w:tr w:rsidR="00B34113" w:rsidTr="00B34113">
        <w:trPr>
          <w:trHeight w:hRule="exact" w:val="428"/>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Pašnodarbinātā ziņojums</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11,7 %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12,8 %</w:t>
            </w:r>
          </w:p>
        </w:tc>
      </w:tr>
      <w:tr w:rsidR="00B34113" w:rsidTr="00B34113">
        <w:trPr>
          <w:trHeight w:hRule="exact" w:val="428"/>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MUN deklarācija</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0,6 %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22,8 %</w:t>
            </w:r>
          </w:p>
        </w:tc>
      </w:tr>
      <w:tr w:rsidR="00B34113" w:rsidTr="00B34113">
        <w:trPr>
          <w:trHeight w:hRule="exact" w:val="428"/>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PVN mēneša deklarācija</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3,8 %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17,0 %</w:t>
            </w:r>
          </w:p>
        </w:tc>
      </w:tr>
      <w:tr w:rsidR="00B34113" w:rsidTr="00B34113">
        <w:trPr>
          <w:trHeight w:hRule="exact" w:val="428"/>
          <w:jc w:val="center"/>
        </w:trPr>
        <w:tc>
          <w:tcPr>
            <w:tcW w:w="1264" w:type="dxa"/>
            <w:vMerge/>
            <w:tcBorders>
              <w:top w:val="nil"/>
              <w:left w:val="single" w:sz="8" w:space="0" w:color="FFFFFF"/>
              <w:bottom w:val="single" w:sz="8" w:space="0" w:color="FFFFFF"/>
              <w:right w:val="single" w:sz="12" w:space="0" w:color="FFFFFF"/>
            </w:tcBorders>
            <w:vAlign w:val="center"/>
            <w:hideMark/>
          </w:tcPr>
          <w:p w:rsidR="00B34113" w:rsidRDefault="00B34113">
            <w:pPr>
              <w:spacing w:after="0" w:line="240" w:lineRule="auto"/>
              <w:rPr>
                <w:rFonts w:ascii="Times New Roman" w:eastAsia="Times New Roman" w:hAnsi="Times New Roman"/>
                <w:b/>
                <w:bCs/>
                <w:color w:val="000000"/>
                <w:sz w:val="20"/>
                <w:szCs w:val="20"/>
                <w:lang w:eastAsia="lv-LV"/>
              </w:rPr>
            </w:pPr>
          </w:p>
        </w:tc>
        <w:tc>
          <w:tcPr>
            <w:tcW w:w="2562"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UIN deklarācija</w:t>
            </w:r>
          </w:p>
        </w:tc>
        <w:tc>
          <w:tcPr>
            <w:tcW w:w="2681"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2,1 %</w:t>
            </w:r>
          </w:p>
        </w:tc>
        <w:tc>
          <w:tcPr>
            <w:tcW w:w="2539" w:type="dxa"/>
            <w:tcBorders>
              <w:top w:val="nil"/>
              <w:left w:val="nil"/>
              <w:bottom w:val="single" w:sz="8" w:space="0" w:color="FFFFFF"/>
              <w:right w:val="single" w:sz="8" w:space="0" w:color="FFFFFF"/>
            </w:tcBorders>
            <w:shd w:val="clear" w:color="auto" w:fill="DBE5F1"/>
            <w:noWrap/>
            <w:vAlign w:val="center"/>
            <w:hideMark/>
          </w:tcPr>
          <w:p w:rsidR="00B34113" w:rsidRDefault="00B34113">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9,2 %</w:t>
            </w:r>
          </w:p>
        </w:tc>
      </w:tr>
    </w:tbl>
    <w:p w:rsidR="00B34113" w:rsidRDefault="00B34113" w:rsidP="00B34113">
      <w:pPr>
        <w:spacing w:after="0" w:line="240" w:lineRule="auto"/>
        <w:ind w:firstLine="720"/>
        <w:jc w:val="both"/>
        <w:rPr>
          <w:rFonts w:ascii="Times New Roman" w:hAnsi="Times New Roman"/>
          <w:sz w:val="28"/>
          <w:szCs w:val="28"/>
        </w:rPr>
      </w:pPr>
    </w:p>
    <w:p w:rsidR="00103EDF" w:rsidRDefault="00103EDF" w:rsidP="00103EDF">
      <w:pPr>
        <w:spacing w:after="0" w:line="240" w:lineRule="auto"/>
        <w:ind w:left="567" w:hanging="567"/>
        <w:jc w:val="both"/>
        <w:rPr>
          <w:rFonts w:ascii="Times New Roman" w:hAnsi="Times New Roman"/>
          <w:b/>
          <w:sz w:val="28"/>
          <w:szCs w:val="28"/>
        </w:rPr>
      </w:pPr>
      <w:r>
        <w:rPr>
          <w:rFonts w:ascii="Times New Roman" w:hAnsi="Times New Roman"/>
          <w:b/>
          <w:sz w:val="28"/>
          <w:szCs w:val="28"/>
        </w:rPr>
        <w:t>4.</w:t>
      </w:r>
      <w:r w:rsidRPr="00F9720D">
        <w:rPr>
          <w:rFonts w:ascii="Times New Roman" w:hAnsi="Times New Roman"/>
          <w:b/>
          <w:sz w:val="28"/>
          <w:szCs w:val="28"/>
        </w:rPr>
        <w:t xml:space="preserve"> Faktori, kas negatīvi ietekmē valsts budžeta ieņēmumus</w:t>
      </w:r>
    </w:p>
    <w:p w:rsidR="00103EDF" w:rsidRPr="00F9720D" w:rsidRDefault="00103EDF" w:rsidP="00103EDF">
      <w:pPr>
        <w:spacing w:after="0" w:line="240" w:lineRule="auto"/>
        <w:ind w:left="567" w:hanging="567"/>
        <w:jc w:val="both"/>
        <w:rPr>
          <w:rFonts w:ascii="Times New Roman" w:hAnsi="Times New Roman"/>
          <w:b/>
          <w:sz w:val="28"/>
          <w:szCs w:val="28"/>
        </w:rPr>
      </w:pPr>
    </w:p>
    <w:p w:rsidR="00103EDF" w:rsidRPr="00103EDF" w:rsidRDefault="00103EDF" w:rsidP="00103EDF">
      <w:pPr>
        <w:spacing w:after="0" w:line="240" w:lineRule="auto"/>
        <w:jc w:val="both"/>
        <w:rPr>
          <w:rFonts w:ascii="Times New Roman" w:hAnsi="Times New Roman"/>
          <w:b/>
          <w:bCs/>
          <w:color w:val="000000"/>
          <w:sz w:val="26"/>
          <w:szCs w:val="26"/>
        </w:rPr>
      </w:pPr>
      <w:r w:rsidRPr="00103EDF">
        <w:rPr>
          <w:rFonts w:ascii="Times New Roman" w:hAnsi="Times New Roman"/>
          <w:b/>
          <w:bCs/>
          <w:color w:val="000000"/>
          <w:sz w:val="26"/>
          <w:szCs w:val="26"/>
        </w:rPr>
        <w:t xml:space="preserve">Fiktīvo uzņēmumu skaits nozarē </w:t>
      </w:r>
    </w:p>
    <w:p w:rsidR="00103EDF" w:rsidRPr="00103EDF" w:rsidRDefault="00103EDF" w:rsidP="00103EDF">
      <w:pPr>
        <w:spacing w:after="0" w:line="240" w:lineRule="auto"/>
        <w:ind w:firstLine="720"/>
        <w:jc w:val="both"/>
        <w:rPr>
          <w:rFonts w:ascii="Times New Roman" w:hAnsi="Times New Roman"/>
          <w:color w:val="000000"/>
          <w:sz w:val="26"/>
          <w:szCs w:val="26"/>
        </w:rPr>
      </w:pPr>
      <w:r w:rsidRPr="00103EDF">
        <w:rPr>
          <w:rFonts w:ascii="Times New Roman" w:hAnsi="Times New Roman"/>
          <w:color w:val="000000"/>
          <w:sz w:val="26"/>
          <w:szCs w:val="26"/>
        </w:rPr>
        <w:t xml:space="preserve">Pēc informācijas uz 2013.gada 2.oktobri nozarē darbojas 4 nodokļu maksātāji, kam ir piešķirta fiktīva uzņēmuma pazīme, kas ir 0,05% no visiem uzņēmumiem ar fiktīva uzņēmuma pazīmi un 0,4% no visiem  nozares uzņēmumiem. </w:t>
      </w:r>
    </w:p>
    <w:p w:rsidR="00103EDF" w:rsidRDefault="00103EDF" w:rsidP="00103EDF">
      <w:pPr>
        <w:spacing w:after="0" w:line="240" w:lineRule="auto"/>
        <w:jc w:val="both"/>
        <w:rPr>
          <w:rFonts w:ascii="Times New Roman" w:hAnsi="Times New Roman"/>
          <w:b/>
          <w:bCs/>
          <w:color w:val="000000"/>
          <w:sz w:val="26"/>
          <w:szCs w:val="26"/>
        </w:rPr>
      </w:pPr>
    </w:p>
    <w:p w:rsidR="00103EDF" w:rsidRPr="00103EDF" w:rsidRDefault="00103EDF" w:rsidP="00103EDF">
      <w:pPr>
        <w:spacing w:after="0" w:line="240" w:lineRule="auto"/>
        <w:jc w:val="both"/>
        <w:rPr>
          <w:rFonts w:ascii="Times New Roman" w:hAnsi="Times New Roman"/>
          <w:b/>
          <w:bCs/>
          <w:color w:val="000000"/>
          <w:sz w:val="26"/>
          <w:szCs w:val="26"/>
        </w:rPr>
      </w:pPr>
      <w:r w:rsidRPr="00103EDF">
        <w:rPr>
          <w:rFonts w:ascii="Times New Roman" w:hAnsi="Times New Roman"/>
          <w:b/>
          <w:bCs/>
          <w:color w:val="000000"/>
          <w:sz w:val="26"/>
          <w:szCs w:val="26"/>
        </w:rPr>
        <w:t xml:space="preserve">Darījumi ar fiktīvajiem uzņēmumiem </w:t>
      </w:r>
    </w:p>
    <w:p w:rsidR="00103EDF" w:rsidRPr="00103EDF" w:rsidRDefault="00103EDF" w:rsidP="00103EDF">
      <w:pPr>
        <w:spacing w:after="0" w:line="240" w:lineRule="auto"/>
        <w:ind w:firstLine="720"/>
        <w:jc w:val="both"/>
        <w:rPr>
          <w:rFonts w:ascii="Times New Roman" w:hAnsi="Times New Roman"/>
          <w:color w:val="000000"/>
          <w:sz w:val="26"/>
          <w:szCs w:val="26"/>
        </w:rPr>
      </w:pPr>
      <w:r w:rsidRPr="00103EDF">
        <w:rPr>
          <w:rFonts w:ascii="Times New Roman" w:hAnsi="Times New Roman"/>
          <w:color w:val="000000"/>
          <w:sz w:val="26"/>
          <w:szCs w:val="26"/>
        </w:rPr>
        <w:t>2011.gadā PVN deklarācijas priekšnodoklī darījumu partnerus ar fiktīva uzņēmuma pazīmi ir iekļāvuši 3 nozares nodokļu maksātāji par kopējo summu 0,18 milj. latu. Tā rezultātā nepamatoti tika palielināts priekšnodoklis un no budžeta atmaksājamā PVN apmērs.</w:t>
      </w:r>
    </w:p>
    <w:p w:rsidR="00103EDF" w:rsidRPr="00103EDF" w:rsidRDefault="00103EDF" w:rsidP="00103EDF">
      <w:pPr>
        <w:spacing w:after="0" w:line="240" w:lineRule="auto"/>
        <w:ind w:firstLine="720"/>
        <w:jc w:val="both"/>
        <w:rPr>
          <w:rFonts w:ascii="Times New Roman" w:hAnsi="Times New Roman"/>
          <w:color w:val="FFFF00"/>
          <w:sz w:val="26"/>
          <w:szCs w:val="26"/>
        </w:rPr>
      </w:pPr>
      <w:r w:rsidRPr="00103EDF">
        <w:rPr>
          <w:rFonts w:ascii="Times New Roman" w:hAnsi="Times New Roman"/>
          <w:sz w:val="26"/>
          <w:szCs w:val="26"/>
        </w:rPr>
        <w:t>2012. un 2013.gadā nebija neviena zobārstniecības nozarē reģistrēta PVN maksātāja, kas veica darījumus ar fiktīvajiem uzņēmumiem.</w:t>
      </w:r>
    </w:p>
    <w:p w:rsidR="00103EDF" w:rsidRPr="00D72E29" w:rsidRDefault="00103EDF" w:rsidP="00103EDF">
      <w:pPr>
        <w:spacing w:after="0" w:line="240" w:lineRule="auto"/>
        <w:ind w:firstLine="720"/>
        <w:jc w:val="both"/>
        <w:rPr>
          <w:rFonts w:ascii="Times New Roman" w:hAnsi="Times New Roman"/>
          <w:color w:val="000000"/>
          <w:sz w:val="28"/>
          <w:szCs w:val="28"/>
        </w:rPr>
      </w:pPr>
    </w:p>
    <w:p w:rsidR="00103EDF" w:rsidRPr="00103EDF" w:rsidRDefault="00103EDF" w:rsidP="00103EDF">
      <w:pPr>
        <w:tabs>
          <w:tab w:val="left" w:pos="360"/>
          <w:tab w:val="left" w:pos="1080"/>
        </w:tabs>
        <w:spacing w:after="0" w:line="240" w:lineRule="auto"/>
        <w:jc w:val="both"/>
        <w:rPr>
          <w:rFonts w:ascii="Times New Roman" w:hAnsi="Times New Roman"/>
          <w:b/>
          <w:sz w:val="26"/>
          <w:szCs w:val="26"/>
        </w:rPr>
      </w:pPr>
      <w:r w:rsidRPr="00103EDF">
        <w:rPr>
          <w:rFonts w:ascii="Times New Roman" w:hAnsi="Times New Roman"/>
          <w:b/>
          <w:sz w:val="26"/>
          <w:szCs w:val="26"/>
        </w:rPr>
        <w:t>Nedeklarētā darījumu vērtība</w:t>
      </w:r>
    </w:p>
    <w:p w:rsidR="00103EDF" w:rsidRPr="00103EDF" w:rsidRDefault="00103EDF" w:rsidP="00103EDF">
      <w:pPr>
        <w:tabs>
          <w:tab w:val="left" w:pos="360"/>
          <w:tab w:val="left" w:pos="1080"/>
        </w:tabs>
        <w:spacing w:after="0" w:line="240" w:lineRule="auto"/>
        <w:ind w:firstLine="720"/>
        <w:jc w:val="both"/>
        <w:rPr>
          <w:rFonts w:ascii="Times New Roman" w:hAnsi="Times New Roman"/>
          <w:sz w:val="26"/>
          <w:szCs w:val="26"/>
        </w:rPr>
      </w:pPr>
      <w:r w:rsidRPr="00103EDF">
        <w:rPr>
          <w:rFonts w:ascii="Times New Roman" w:hAnsi="Times New Roman"/>
          <w:sz w:val="26"/>
          <w:szCs w:val="26"/>
        </w:rPr>
        <w:t xml:space="preserve">2013.gada 9 mēnešos 2 nodokļu maksātājiem, kas darbojas nozarē, ir konstatēta nedeklarētā darījumu vērtība (negatīvās starpības) 0,10 milj. latu apmērā, jo citi nodokļu maksātāji savos pielikumos par priekšnodokļa summām bija iekļāvuši iegādes no nozares nodokļu maksātājiem par 0,10 milj. latu vairāk, nekā nozares nodokļu maksātāji ir deklarējuši kā realizāciju (kopējo darījumu vērtību) </w:t>
      </w:r>
      <w:r w:rsidRPr="00103EDF">
        <w:rPr>
          <w:rFonts w:ascii="Times New Roman" w:hAnsi="Times New Roman"/>
          <w:i/>
          <w:sz w:val="26"/>
          <w:szCs w:val="26"/>
        </w:rPr>
        <w:t>(skatīt 3.tabulu).</w:t>
      </w:r>
    </w:p>
    <w:p w:rsidR="00103EDF" w:rsidRPr="00103EDF" w:rsidRDefault="00103EDF" w:rsidP="00103EDF">
      <w:pPr>
        <w:tabs>
          <w:tab w:val="left" w:pos="360"/>
          <w:tab w:val="left" w:pos="1080"/>
        </w:tabs>
        <w:spacing w:after="0" w:line="240" w:lineRule="auto"/>
        <w:ind w:firstLine="709"/>
        <w:jc w:val="right"/>
        <w:rPr>
          <w:rFonts w:ascii="Times New Roman" w:hAnsi="Times New Roman"/>
          <w:sz w:val="26"/>
          <w:szCs w:val="26"/>
        </w:rPr>
      </w:pPr>
    </w:p>
    <w:p w:rsidR="00103EDF" w:rsidRDefault="00103EDF">
      <w:pPr>
        <w:spacing w:after="0" w:line="240" w:lineRule="auto"/>
        <w:rPr>
          <w:rFonts w:ascii="Times New Roman" w:hAnsi="Times New Roman"/>
          <w:sz w:val="26"/>
          <w:szCs w:val="26"/>
        </w:rPr>
      </w:pPr>
      <w:r>
        <w:rPr>
          <w:rFonts w:ascii="Times New Roman" w:hAnsi="Times New Roman"/>
          <w:sz w:val="26"/>
          <w:szCs w:val="26"/>
        </w:rPr>
        <w:br w:type="page"/>
      </w:r>
    </w:p>
    <w:p w:rsidR="00103EDF" w:rsidRPr="00103EDF" w:rsidRDefault="00103EDF" w:rsidP="00103EDF">
      <w:pPr>
        <w:tabs>
          <w:tab w:val="left" w:pos="360"/>
          <w:tab w:val="left" w:pos="1080"/>
        </w:tabs>
        <w:spacing w:after="0" w:line="240" w:lineRule="auto"/>
        <w:ind w:firstLine="709"/>
        <w:jc w:val="right"/>
        <w:rPr>
          <w:rFonts w:ascii="Times New Roman" w:hAnsi="Times New Roman"/>
          <w:sz w:val="26"/>
          <w:szCs w:val="26"/>
        </w:rPr>
      </w:pPr>
      <w:r w:rsidRPr="00103EDF">
        <w:rPr>
          <w:rFonts w:ascii="Times New Roman" w:hAnsi="Times New Roman"/>
          <w:sz w:val="26"/>
          <w:szCs w:val="26"/>
        </w:rPr>
        <w:lastRenderedPageBreak/>
        <w:t>3.tabula</w:t>
      </w:r>
    </w:p>
    <w:p w:rsidR="00103EDF" w:rsidRPr="00103EDF" w:rsidRDefault="00103EDF" w:rsidP="00103EDF">
      <w:pPr>
        <w:tabs>
          <w:tab w:val="left" w:pos="360"/>
          <w:tab w:val="left" w:pos="1080"/>
        </w:tabs>
        <w:spacing w:after="0" w:line="240" w:lineRule="auto"/>
        <w:jc w:val="center"/>
        <w:rPr>
          <w:rFonts w:ascii="Times New Roman" w:hAnsi="Times New Roman"/>
          <w:b/>
          <w:sz w:val="26"/>
          <w:szCs w:val="26"/>
        </w:rPr>
      </w:pPr>
      <w:r w:rsidRPr="00103EDF">
        <w:rPr>
          <w:rFonts w:ascii="Times New Roman" w:hAnsi="Times New Roman"/>
          <w:b/>
          <w:sz w:val="26"/>
          <w:szCs w:val="26"/>
        </w:rPr>
        <w:t>Nedeklarētā darījumu vērtība (PVN deklarāciju negatīvā starpība)</w:t>
      </w:r>
    </w:p>
    <w:p w:rsidR="00103EDF" w:rsidRPr="00E01F8F" w:rsidRDefault="00103EDF" w:rsidP="00103EDF">
      <w:pPr>
        <w:tabs>
          <w:tab w:val="left" w:pos="360"/>
          <w:tab w:val="left" w:pos="1080"/>
        </w:tabs>
        <w:spacing w:after="0" w:line="240" w:lineRule="auto"/>
        <w:jc w:val="center"/>
        <w:rPr>
          <w:rFonts w:ascii="Times New Roman" w:hAnsi="Times New Roman"/>
          <w:b/>
          <w:sz w:val="28"/>
          <w:szCs w:val="28"/>
        </w:rPr>
      </w:pPr>
    </w:p>
    <w:tbl>
      <w:tblPr>
        <w:tblW w:w="8237" w:type="dxa"/>
        <w:tblInd w:w="93" w:type="dxa"/>
        <w:tblLayout w:type="fixed"/>
        <w:tblLook w:val="04A0" w:firstRow="1" w:lastRow="0" w:firstColumn="1" w:lastColumn="0" w:noHBand="0" w:noVBand="1"/>
      </w:tblPr>
      <w:tblGrid>
        <w:gridCol w:w="1840"/>
        <w:gridCol w:w="1010"/>
        <w:gridCol w:w="939"/>
        <w:gridCol w:w="1046"/>
        <w:gridCol w:w="903"/>
        <w:gridCol w:w="1223"/>
        <w:gridCol w:w="1276"/>
      </w:tblGrid>
      <w:tr w:rsidR="00103EDF" w:rsidRPr="000C1322" w:rsidTr="00C43315">
        <w:trPr>
          <w:trHeight w:val="270"/>
        </w:trPr>
        <w:tc>
          <w:tcPr>
            <w:tcW w:w="1840" w:type="dxa"/>
            <w:vMerge w:val="restart"/>
            <w:tcBorders>
              <w:top w:val="single" w:sz="8" w:space="0" w:color="FFFFFF"/>
              <w:left w:val="single" w:sz="8" w:space="0" w:color="FFFFFF"/>
              <w:bottom w:val="single" w:sz="8" w:space="0" w:color="FFFFFF"/>
              <w:right w:val="single" w:sz="8" w:space="0" w:color="FFFFFF"/>
            </w:tcBorders>
            <w:shd w:val="clear" w:color="000000" w:fill="95B3D7"/>
            <w:noWrap/>
            <w:vAlign w:val="center"/>
            <w:hideMark/>
          </w:tcPr>
          <w:p w:rsidR="00103EDF" w:rsidRPr="000C1322" w:rsidRDefault="00103EDF" w:rsidP="00C43315">
            <w:pPr>
              <w:spacing w:after="0" w:line="240" w:lineRule="auto"/>
              <w:jc w:val="center"/>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Nozare</w:t>
            </w:r>
          </w:p>
        </w:tc>
        <w:tc>
          <w:tcPr>
            <w:tcW w:w="1949" w:type="dxa"/>
            <w:gridSpan w:val="2"/>
            <w:tcBorders>
              <w:top w:val="single" w:sz="8" w:space="0" w:color="FFFFFF"/>
              <w:left w:val="nil"/>
              <w:bottom w:val="single" w:sz="12" w:space="0" w:color="FFFFFF"/>
              <w:right w:val="single" w:sz="8" w:space="0" w:color="FFFFFF"/>
            </w:tcBorders>
            <w:shd w:val="clear" w:color="000000" w:fill="95B3D7"/>
            <w:noWrap/>
            <w:vAlign w:val="center"/>
            <w:hideMark/>
          </w:tcPr>
          <w:p w:rsidR="00103EDF" w:rsidRPr="000C1322" w:rsidRDefault="00103EDF" w:rsidP="00C43315">
            <w:pPr>
              <w:spacing w:after="0" w:line="240" w:lineRule="auto"/>
              <w:jc w:val="center"/>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2011.gads</w:t>
            </w:r>
          </w:p>
        </w:tc>
        <w:tc>
          <w:tcPr>
            <w:tcW w:w="1949" w:type="dxa"/>
            <w:gridSpan w:val="2"/>
            <w:tcBorders>
              <w:top w:val="single" w:sz="8" w:space="0" w:color="FFFFFF"/>
              <w:left w:val="nil"/>
              <w:bottom w:val="single" w:sz="12" w:space="0" w:color="FFFFFF"/>
              <w:right w:val="single" w:sz="8" w:space="0" w:color="FFFFFF"/>
            </w:tcBorders>
            <w:shd w:val="clear" w:color="000000" w:fill="95B3D7"/>
            <w:vAlign w:val="center"/>
            <w:hideMark/>
          </w:tcPr>
          <w:p w:rsidR="00103EDF" w:rsidRPr="000C1322" w:rsidRDefault="00103EDF" w:rsidP="00C43315">
            <w:pPr>
              <w:spacing w:after="0" w:line="240" w:lineRule="auto"/>
              <w:jc w:val="center"/>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2012.gads</w:t>
            </w:r>
          </w:p>
        </w:tc>
        <w:tc>
          <w:tcPr>
            <w:tcW w:w="2499" w:type="dxa"/>
            <w:gridSpan w:val="2"/>
            <w:tcBorders>
              <w:top w:val="single" w:sz="8" w:space="0" w:color="FFFFFF"/>
              <w:left w:val="nil"/>
              <w:bottom w:val="single" w:sz="12" w:space="0" w:color="FFFFFF"/>
              <w:right w:val="single" w:sz="8" w:space="0" w:color="FFFFFF"/>
            </w:tcBorders>
            <w:shd w:val="clear" w:color="000000" w:fill="95B3D7"/>
            <w:vAlign w:val="center"/>
            <w:hideMark/>
          </w:tcPr>
          <w:p w:rsidR="00103EDF" w:rsidRPr="000C1322" w:rsidRDefault="00103EDF" w:rsidP="00C43315">
            <w:pPr>
              <w:spacing w:after="0" w:line="240" w:lineRule="auto"/>
              <w:jc w:val="center"/>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 xml:space="preserve">2013.gada 9 </w:t>
            </w:r>
            <w:proofErr w:type="spellStart"/>
            <w:r w:rsidRPr="000C1322">
              <w:rPr>
                <w:rFonts w:ascii="Times New Roman" w:eastAsia="Times New Roman" w:hAnsi="Times New Roman"/>
                <w:color w:val="000000"/>
                <w:sz w:val="20"/>
                <w:szCs w:val="20"/>
                <w:lang w:eastAsia="lv-LV"/>
              </w:rPr>
              <w:t>mēn</w:t>
            </w:r>
            <w:proofErr w:type="spellEnd"/>
            <w:r>
              <w:rPr>
                <w:rFonts w:ascii="Times New Roman" w:eastAsia="Times New Roman" w:hAnsi="Times New Roman"/>
                <w:color w:val="000000"/>
                <w:sz w:val="20"/>
                <w:szCs w:val="20"/>
                <w:lang w:eastAsia="lv-LV"/>
              </w:rPr>
              <w:t>.</w:t>
            </w:r>
          </w:p>
        </w:tc>
      </w:tr>
      <w:tr w:rsidR="00103EDF" w:rsidRPr="000C1322" w:rsidTr="00C43315">
        <w:trPr>
          <w:trHeight w:val="930"/>
        </w:trPr>
        <w:tc>
          <w:tcPr>
            <w:tcW w:w="1840" w:type="dxa"/>
            <w:vMerge/>
            <w:tcBorders>
              <w:top w:val="single" w:sz="8" w:space="0" w:color="FFFFFF"/>
              <w:left w:val="single" w:sz="8" w:space="0" w:color="FFFFFF"/>
              <w:bottom w:val="single" w:sz="8" w:space="0" w:color="FFFFFF"/>
              <w:right w:val="single" w:sz="8" w:space="0" w:color="FFFFFF"/>
            </w:tcBorders>
            <w:vAlign w:val="center"/>
            <w:hideMark/>
          </w:tcPr>
          <w:p w:rsidR="00103EDF" w:rsidRPr="000C1322" w:rsidRDefault="00103EDF" w:rsidP="00C43315">
            <w:pPr>
              <w:spacing w:after="0" w:line="240" w:lineRule="auto"/>
              <w:rPr>
                <w:rFonts w:ascii="Times New Roman" w:eastAsia="Times New Roman" w:hAnsi="Times New Roman"/>
                <w:color w:val="000000"/>
                <w:sz w:val="20"/>
                <w:szCs w:val="20"/>
                <w:lang w:eastAsia="lv-LV"/>
              </w:rPr>
            </w:pPr>
          </w:p>
        </w:tc>
        <w:tc>
          <w:tcPr>
            <w:tcW w:w="1010" w:type="dxa"/>
            <w:tcBorders>
              <w:top w:val="nil"/>
              <w:left w:val="nil"/>
              <w:bottom w:val="single" w:sz="8" w:space="0" w:color="FFFFFF"/>
              <w:right w:val="single" w:sz="8" w:space="0" w:color="FFFFFF"/>
            </w:tcBorders>
            <w:shd w:val="clear" w:color="000000" w:fill="95B3D7"/>
            <w:vAlign w:val="center"/>
            <w:hideMark/>
          </w:tcPr>
          <w:p w:rsidR="00103EDF" w:rsidRPr="000C1322" w:rsidRDefault="00103EDF" w:rsidP="00C43315">
            <w:pPr>
              <w:spacing w:after="0" w:line="240" w:lineRule="auto"/>
              <w:jc w:val="center"/>
              <w:rPr>
                <w:rFonts w:ascii="Times New Roman" w:eastAsia="Times New Roman" w:hAnsi="Times New Roman"/>
                <w:color w:val="000000"/>
                <w:sz w:val="16"/>
                <w:szCs w:val="16"/>
                <w:lang w:eastAsia="lv-LV"/>
              </w:rPr>
            </w:pPr>
            <w:r w:rsidRPr="000C1322">
              <w:rPr>
                <w:rFonts w:ascii="Times New Roman" w:eastAsia="Times New Roman" w:hAnsi="Times New Roman"/>
                <w:color w:val="000000"/>
                <w:sz w:val="16"/>
                <w:szCs w:val="16"/>
                <w:lang w:eastAsia="lv-LV"/>
              </w:rPr>
              <w:t>Nedeklarētā darījumu vērtība, milj. Ls</w:t>
            </w:r>
          </w:p>
        </w:tc>
        <w:tc>
          <w:tcPr>
            <w:tcW w:w="939" w:type="dxa"/>
            <w:tcBorders>
              <w:top w:val="single" w:sz="8" w:space="0" w:color="FFFFFF"/>
              <w:left w:val="nil"/>
              <w:bottom w:val="single" w:sz="8" w:space="0" w:color="FFFFFF"/>
              <w:right w:val="single" w:sz="8" w:space="0" w:color="FFFFFF"/>
            </w:tcBorders>
            <w:shd w:val="clear" w:color="000000" w:fill="95B3D7"/>
            <w:noWrap/>
            <w:vAlign w:val="center"/>
            <w:hideMark/>
          </w:tcPr>
          <w:p w:rsidR="00103EDF" w:rsidRPr="000C1322" w:rsidRDefault="00103EDF" w:rsidP="00C43315">
            <w:pPr>
              <w:spacing w:after="0" w:line="240" w:lineRule="auto"/>
              <w:jc w:val="center"/>
              <w:rPr>
                <w:rFonts w:ascii="Times New Roman" w:eastAsia="Times New Roman" w:hAnsi="Times New Roman"/>
                <w:color w:val="000000"/>
                <w:sz w:val="16"/>
                <w:szCs w:val="16"/>
                <w:lang w:eastAsia="lv-LV"/>
              </w:rPr>
            </w:pPr>
            <w:r w:rsidRPr="000C1322">
              <w:rPr>
                <w:rFonts w:ascii="Times New Roman" w:eastAsia="Times New Roman" w:hAnsi="Times New Roman"/>
                <w:color w:val="000000"/>
                <w:sz w:val="16"/>
                <w:szCs w:val="16"/>
                <w:lang w:eastAsia="lv-LV"/>
              </w:rPr>
              <w:t>NM skaits</w:t>
            </w:r>
          </w:p>
        </w:tc>
        <w:tc>
          <w:tcPr>
            <w:tcW w:w="1046" w:type="dxa"/>
            <w:tcBorders>
              <w:top w:val="nil"/>
              <w:left w:val="nil"/>
              <w:bottom w:val="single" w:sz="8" w:space="0" w:color="FFFFFF"/>
              <w:right w:val="single" w:sz="8" w:space="0" w:color="FFFFFF"/>
            </w:tcBorders>
            <w:shd w:val="clear" w:color="000000" w:fill="95B3D7"/>
            <w:vAlign w:val="center"/>
            <w:hideMark/>
          </w:tcPr>
          <w:p w:rsidR="00103EDF" w:rsidRPr="000C1322" w:rsidRDefault="00103EDF" w:rsidP="00C43315">
            <w:pPr>
              <w:spacing w:after="0" w:line="240" w:lineRule="auto"/>
              <w:jc w:val="center"/>
              <w:rPr>
                <w:rFonts w:ascii="Times New Roman" w:eastAsia="Times New Roman" w:hAnsi="Times New Roman"/>
                <w:color w:val="000000"/>
                <w:sz w:val="16"/>
                <w:szCs w:val="16"/>
                <w:lang w:eastAsia="lv-LV"/>
              </w:rPr>
            </w:pPr>
            <w:r w:rsidRPr="000C1322">
              <w:rPr>
                <w:rFonts w:ascii="Times New Roman" w:eastAsia="Times New Roman" w:hAnsi="Times New Roman"/>
                <w:color w:val="000000"/>
                <w:sz w:val="16"/>
                <w:szCs w:val="16"/>
                <w:lang w:eastAsia="lv-LV"/>
              </w:rPr>
              <w:t>Nedeklarētā darījumu vērtība, milj. Ls</w:t>
            </w:r>
          </w:p>
        </w:tc>
        <w:tc>
          <w:tcPr>
            <w:tcW w:w="903" w:type="dxa"/>
            <w:tcBorders>
              <w:top w:val="single" w:sz="8" w:space="0" w:color="FFFFFF"/>
              <w:left w:val="nil"/>
              <w:bottom w:val="single" w:sz="8" w:space="0" w:color="FFFFFF"/>
              <w:right w:val="single" w:sz="8" w:space="0" w:color="FFFFFF"/>
            </w:tcBorders>
            <w:shd w:val="clear" w:color="000000" w:fill="95B3D7"/>
            <w:noWrap/>
            <w:vAlign w:val="center"/>
            <w:hideMark/>
          </w:tcPr>
          <w:p w:rsidR="00103EDF" w:rsidRPr="000C1322" w:rsidRDefault="00103EDF" w:rsidP="00C43315">
            <w:pPr>
              <w:spacing w:after="0" w:line="240" w:lineRule="auto"/>
              <w:jc w:val="center"/>
              <w:rPr>
                <w:rFonts w:ascii="Times New Roman" w:eastAsia="Times New Roman" w:hAnsi="Times New Roman"/>
                <w:color w:val="000000"/>
                <w:sz w:val="16"/>
                <w:szCs w:val="16"/>
                <w:lang w:eastAsia="lv-LV"/>
              </w:rPr>
            </w:pPr>
            <w:r w:rsidRPr="000C1322">
              <w:rPr>
                <w:rFonts w:ascii="Times New Roman" w:eastAsia="Times New Roman" w:hAnsi="Times New Roman"/>
                <w:color w:val="000000"/>
                <w:sz w:val="16"/>
                <w:szCs w:val="16"/>
                <w:lang w:eastAsia="lv-LV"/>
              </w:rPr>
              <w:t>NM skaits</w:t>
            </w:r>
          </w:p>
        </w:tc>
        <w:tc>
          <w:tcPr>
            <w:tcW w:w="1223" w:type="dxa"/>
            <w:tcBorders>
              <w:top w:val="nil"/>
              <w:left w:val="nil"/>
              <w:bottom w:val="single" w:sz="8" w:space="0" w:color="FFFFFF"/>
              <w:right w:val="single" w:sz="8" w:space="0" w:color="FFFFFF"/>
            </w:tcBorders>
            <w:shd w:val="clear" w:color="000000" w:fill="95B3D7"/>
            <w:vAlign w:val="center"/>
            <w:hideMark/>
          </w:tcPr>
          <w:p w:rsidR="00103EDF" w:rsidRPr="000C1322" w:rsidRDefault="00103EDF" w:rsidP="00C43315">
            <w:pPr>
              <w:spacing w:after="0" w:line="240" w:lineRule="auto"/>
              <w:jc w:val="center"/>
              <w:rPr>
                <w:rFonts w:ascii="Times New Roman" w:eastAsia="Times New Roman" w:hAnsi="Times New Roman"/>
                <w:color w:val="000000"/>
                <w:sz w:val="16"/>
                <w:szCs w:val="16"/>
                <w:lang w:eastAsia="lv-LV"/>
              </w:rPr>
            </w:pPr>
            <w:r w:rsidRPr="000C1322">
              <w:rPr>
                <w:rFonts w:ascii="Times New Roman" w:eastAsia="Times New Roman" w:hAnsi="Times New Roman"/>
                <w:color w:val="000000"/>
                <w:sz w:val="16"/>
                <w:szCs w:val="16"/>
                <w:lang w:eastAsia="lv-LV"/>
              </w:rPr>
              <w:t>Nedeklarētā darījumu vērtība, milj. Ls</w:t>
            </w:r>
          </w:p>
        </w:tc>
        <w:tc>
          <w:tcPr>
            <w:tcW w:w="1276" w:type="dxa"/>
            <w:tcBorders>
              <w:top w:val="single" w:sz="8" w:space="0" w:color="FFFFFF"/>
              <w:left w:val="nil"/>
              <w:bottom w:val="single" w:sz="8" w:space="0" w:color="FFFFFF"/>
              <w:right w:val="single" w:sz="8" w:space="0" w:color="FFFFFF"/>
            </w:tcBorders>
            <w:shd w:val="clear" w:color="000000" w:fill="95B3D7"/>
            <w:noWrap/>
            <w:vAlign w:val="center"/>
            <w:hideMark/>
          </w:tcPr>
          <w:p w:rsidR="00103EDF" w:rsidRPr="000C1322" w:rsidRDefault="00103EDF" w:rsidP="00C43315">
            <w:pPr>
              <w:spacing w:after="0" w:line="240" w:lineRule="auto"/>
              <w:jc w:val="center"/>
              <w:rPr>
                <w:rFonts w:ascii="Times New Roman" w:eastAsia="Times New Roman" w:hAnsi="Times New Roman"/>
                <w:color w:val="000000"/>
                <w:sz w:val="16"/>
                <w:szCs w:val="16"/>
                <w:lang w:eastAsia="lv-LV"/>
              </w:rPr>
            </w:pPr>
            <w:r w:rsidRPr="000C1322">
              <w:rPr>
                <w:rFonts w:ascii="Times New Roman" w:eastAsia="Times New Roman" w:hAnsi="Times New Roman"/>
                <w:color w:val="000000"/>
                <w:sz w:val="16"/>
                <w:szCs w:val="16"/>
                <w:lang w:eastAsia="lv-LV"/>
              </w:rPr>
              <w:t>NM skaits</w:t>
            </w:r>
          </w:p>
        </w:tc>
      </w:tr>
      <w:tr w:rsidR="00103EDF" w:rsidRPr="000C1322" w:rsidTr="00C43315">
        <w:trPr>
          <w:trHeight w:val="675"/>
        </w:trPr>
        <w:tc>
          <w:tcPr>
            <w:tcW w:w="1840" w:type="dxa"/>
            <w:tcBorders>
              <w:top w:val="nil"/>
              <w:left w:val="single" w:sz="8" w:space="0" w:color="FFFFFF"/>
              <w:bottom w:val="nil"/>
              <w:right w:val="single" w:sz="12" w:space="0" w:color="FFFFFF"/>
            </w:tcBorders>
            <w:shd w:val="clear" w:color="000000" w:fill="95B3D7"/>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Zobārstu prakse</w:t>
            </w:r>
          </w:p>
        </w:tc>
        <w:tc>
          <w:tcPr>
            <w:tcW w:w="1010" w:type="dxa"/>
            <w:tcBorders>
              <w:top w:val="nil"/>
              <w:left w:val="nil"/>
              <w:bottom w:val="single" w:sz="8" w:space="0" w:color="FFFFFF"/>
              <w:right w:val="single" w:sz="8" w:space="0" w:color="FFFFFF"/>
            </w:tcBorders>
            <w:shd w:val="clear" w:color="000000" w:fill="DBE5F1"/>
            <w:noWrap/>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0,004</w:t>
            </w:r>
          </w:p>
        </w:tc>
        <w:tc>
          <w:tcPr>
            <w:tcW w:w="939" w:type="dxa"/>
            <w:tcBorders>
              <w:top w:val="nil"/>
              <w:left w:val="nil"/>
              <w:bottom w:val="single" w:sz="8" w:space="0" w:color="FFFFFF"/>
              <w:right w:val="single" w:sz="8" w:space="0" w:color="FFFFFF"/>
            </w:tcBorders>
            <w:shd w:val="clear" w:color="000000" w:fill="DBE5F1"/>
            <w:noWrap/>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1</w:t>
            </w:r>
          </w:p>
        </w:tc>
        <w:tc>
          <w:tcPr>
            <w:tcW w:w="1046" w:type="dxa"/>
            <w:tcBorders>
              <w:top w:val="nil"/>
              <w:left w:val="nil"/>
              <w:bottom w:val="single" w:sz="8" w:space="0" w:color="FFFFFF"/>
              <w:right w:val="single" w:sz="8" w:space="0" w:color="FFFFFF"/>
            </w:tcBorders>
            <w:shd w:val="clear" w:color="000000" w:fill="DBE5F1"/>
            <w:noWrap/>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0,03</w:t>
            </w:r>
          </w:p>
        </w:tc>
        <w:tc>
          <w:tcPr>
            <w:tcW w:w="903" w:type="dxa"/>
            <w:tcBorders>
              <w:top w:val="nil"/>
              <w:left w:val="nil"/>
              <w:bottom w:val="single" w:sz="8" w:space="0" w:color="FFFFFF"/>
              <w:right w:val="single" w:sz="8" w:space="0" w:color="FFFFFF"/>
            </w:tcBorders>
            <w:shd w:val="clear" w:color="000000" w:fill="DBE5F1"/>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2</w:t>
            </w:r>
          </w:p>
        </w:tc>
        <w:tc>
          <w:tcPr>
            <w:tcW w:w="1223" w:type="dxa"/>
            <w:tcBorders>
              <w:top w:val="nil"/>
              <w:left w:val="nil"/>
              <w:bottom w:val="single" w:sz="8" w:space="0" w:color="FFFFFF"/>
              <w:right w:val="single" w:sz="8" w:space="0" w:color="FFFFFF"/>
            </w:tcBorders>
            <w:shd w:val="clear" w:color="000000" w:fill="DBE5F1"/>
            <w:noWrap/>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0,10</w:t>
            </w:r>
          </w:p>
        </w:tc>
        <w:tc>
          <w:tcPr>
            <w:tcW w:w="1276" w:type="dxa"/>
            <w:tcBorders>
              <w:top w:val="nil"/>
              <w:left w:val="nil"/>
              <w:bottom w:val="single" w:sz="8" w:space="0" w:color="FFFFFF"/>
              <w:right w:val="single" w:sz="8" w:space="0" w:color="FFFFFF"/>
            </w:tcBorders>
            <w:shd w:val="clear" w:color="000000" w:fill="DBE5F1"/>
            <w:vAlign w:val="center"/>
            <w:hideMark/>
          </w:tcPr>
          <w:p w:rsidR="00103EDF" w:rsidRPr="000C1322" w:rsidRDefault="00103EDF" w:rsidP="00C43315">
            <w:pPr>
              <w:spacing w:after="0" w:line="240" w:lineRule="auto"/>
              <w:jc w:val="right"/>
              <w:rPr>
                <w:rFonts w:ascii="Times New Roman" w:eastAsia="Times New Roman" w:hAnsi="Times New Roman"/>
                <w:color w:val="000000"/>
                <w:sz w:val="20"/>
                <w:szCs w:val="20"/>
                <w:lang w:eastAsia="lv-LV"/>
              </w:rPr>
            </w:pPr>
            <w:r w:rsidRPr="000C1322">
              <w:rPr>
                <w:rFonts w:ascii="Times New Roman" w:eastAsia="Times New Roman" w:hAnsi="Times New Roman"/>
                <w:color w:val="000000"/>
                <w:sz w:val="20"/>
                <w:szCs w:val="20"/>
                <w:lang w:eastAsia="lv-LV"/>
              </w:rPr>
              <w:t>2</w:t>
            </w:r>
          </w:p>
        </w:tc>
      </w:tr>
    </w:tbl>
    <w:p w:rsidR="00103EDF" w:rsidRPr="00D72E29" w:rsidRDefault="00103EDF" w:rsidP="00103EDF">
      <w:pPr>
        <w:tabs>
          <w:tab w:val="left" w:pos="360"/>
          <w:tab w:val="left" w:pos="1080"/>
        </w:tabs>
        <w:spacing w:after="0" w:line="240" w:lineRule="auto"/>
        <w:jc w:val="both"/>
        <w:rPr>
          <w:rFonts w:ascii="Times New Roman" w:hAnsi="Times New Roman"/>
          <w:b/>
          <w:sz w:val="28"/>
          <w:szCs w:val="28"/>
        </w:rPr>
      </w:pPr>
    </w:p>
    <w:p w:rsidR="00103EDF" w:rsidRPr="00103EDF" w:rsidRDefault="00103EDF" w:rsidP="00103EDF">
      <w:pPr>
        <w:tabs>
          <w:tab w:val="left" w:pos="360"/>
          <w:tab w:val="left" w:pos="1080"/>
        </w:tabs>
        <w:spacing w:after="0" w:line="240" w:lineRule="auto"/>
        <w:jc w:val="both"/>
        <w:rPr>
          <w:rFonts w:ascii="Times New Roman" w:hAnsi="Times New Roman"/>
          <w:b/>
          <w:sz w:val="26"/>
          <w:szCs w:val="26"/>
        </w:rPr>
      </w:pPr>
      <w:r w:rsidRPr="00103EDF">
        <w:rPr>
          <w:rFonts w:ascii="Times New Roman" w:hAnsi="Times New Roman"/>
          <w:b/>
          <w:sz w:val="26"/>
          <w:szCs w:val="26"/>
        </w:rPr>
        <w:t>Nav deklarētās kopējās darījumu vērtības, bet PVN deklarācijās aprēķinātais rezultāts ir no budžeta atmaksājamā summa</w:t>
      </w:r>
    </w:p>
    <w:p w:rsidR="00103EDF" w:rsidRPr="00103EDF" w:rsidRDefault="00103EDF" w:rsidP="00103EDF">
      <w:pPr>
        <w:tabs>
          <w:tab w:val="left" w:pos="360"/>
          <w:tab w:val="left" w:pos="1080"/>
        </w:tabs>
        <w:spacing w:after="0" w:line="240" w:lineRule="auto"/>
        <w:jc w:val="both"/>
        <w:rPr>
          <w:rFonts w:ascii="Times New Roman" w:hAnsi="Times New Roman"/>
          <w:b/>
          <w:sz w:val="26"/>
          <w:szCs w:val="26"/>
        </w:rPr>
      </w:pPr>
      <w:r w:rsidRPr="00103EDF">
        <w:rPr>
          <w:rFonts w:ascii="Times New Roman" w:hAnsi="Times New Roman"/>
          <w:b/>
          <w:sz w:val="26"/>
          <w:szCs w:val="26"/>
        </w:rPr>
        <w:t xml:space="preserve"> </w:t>
      </w:r>
    </w:p>
    <w:p w:rsidR="00103EDF" w:rsidRPr="00103EDF" w:rsidRDefault="00103EDF" w:rsidP="00103EDF">
      <w:pPr>
        <w:tabs>
          <w:tab w:val="left" w:pos="360"/>
          <w:tab w:val="left" w:pos="1080"/>
        </w:tabs>
        <w:spacing w:after="0" w:line="240" w:lineRule="auto"/>
        <w:ind w:firstLine="720"/>
        <w:jc w:val="both"/>
        <w:rPr>
          <w:rFonts w:ascii="Times New Roman" w:hAnsi="Times New Roman"/>
          <w:sz w:val="26"/>
          <w:szCs w:val="26"/>
        </w:rPr>
      </w:pPr>
      <w:r w:rsidRPr="00103EDF">
        <w:rPr>
          <w:rFonts w:ascii="Times New Roman" w:hAnsi="Times New Roman"/>
          <w:sz w:val="26"/>
          <w:szCs w:val="26"/>
        </w:rPr>
        <w:t>2013.gada 9 mēnešos, salīdzinot ar 2012.gadu, nodokļu maksātāju skaits nozarē, kas nav deklarējuši kopējo darījumu vērtību, bet kam ir priekšnodoklis bija nemainīgs. Savukārt, 2013.gada 9 mēnešos salīdzinot ar 2012.gadu ir samazinājusies PVN deklarācijās iekļautā priekšnodokļa summa (</w:t>
      </w:r>
      <w:r w:rsidRPr="00103EDF">
        <w:rPr>
          <w:rFonts w:ascii="Times New Roman" w:hAnsi="Times New Roman"/>
          <w:i/>
          <w:sz w:val="26"/>
          <w:szCs w:val="26"/>
        </w:rPr>
        <w:t>skatīt 4.tabulu</w:t>
      </w:r>
      <w:r w:rsidRPr="00103EDF">
        <w:rPr>
          <w:rFonts w:ascii="Times New Roman" w:hAnsi="Times New Roman"/>
          <w:sz w:val="26"/>
          <w:szCs w:val="26"/>
        </w:rPr>
        <w:t>).</w:t>
      </w:r>
    </w:p>
    <w:p w:rsidR="00103EDF" w:rsidRPr="00103EDF" w:rsidRDefault="00103EDF" w:rsidP="00103EDF">
      <w:pPr>
        <w:tabs>
          <w:tab w:val="left" w:pos="360"/>
          <w:tab w:val="left" w:pos="1080"/>
        </w:tabs>
        <w:spacing w:after="0" w:line="240" w:lineRule="auto"/>
        <w:jc w:val="right"/>
        <w:rPr>
          <w:rFonts w:ascii="Times New Roman" w:hAnsi="Times New Roman"/>
          <w:sz w:val="26"/>
          <w:szCs w:val="26"/>
        </w:rPr>
      </w:pPr>
      <w:r w:rsidRPr="00103EDF">
        <w:rPr>
          <w:rFonts w:ascii="Times New Roman" w:hAnsi="Times New Roman"/>
          <w:sz w:val="26"/>
          <w:szCs w:val="26"/>
        </w:rPr>
        <w:t>4.tabula</w:t>
      </w:r>
    </w:p>
    <w:p w:rsidR="00103EDF" w:rsidRPr="00103EDF" w:rsidRDefault="00103EDF" w:rsidP="00103EDF">
      <w:pPr>
        <w:tabs>
          <w:tab w:val="left" w:pos="360"/>
          <w:tab w:val="left" w:pos="1080"/>
        </w:tabs>
        <w:spacing w:after="0" w:line="240" w:lineRule="auto"/>
        <w:jc w:val="right"/>
        <w:rPr>
          <w:rFonts w:ascii="Times New Roman" w:hAnsi="Times New Roman"/>
          <w:sz w:val="26"/>
          <w:szCs w:val="26"/>
        </w:rPr>
      </w:pPr>
    </w:p>
    <w:p w:rsidR="00103EDF" w:rsidRPr="00103EDF" w:rsidRDefault="00103EDF" w:rsidP="00103EDF">
      <w:pPr>
        <w:tabs>
          <w:tab w:val="left" w:pos="360"/>
          <w:tab w:val="left" w:pos="1080"/>
        </w:tabs>
        <w:spacing w:after="0" w:line="240" w:lineRule="auto"/>
        <w:jc w:val="center"/>
        <w:rPr>
          <w:rFonts w:ascii="Times New Roman" w:hAnsi="Times New Roman"/>
          <w:b/>
          <w:sz w:val="26"/>
          <w:szCs w:val="26"/>
        </w:rPr>
      </w:pPr>
      <w:r w:rsidRPr="00103EDF">
        <w:rPr>
          <w:rFonts w:ascii="Times New Roman" w:hAnsi="Times New Roman"/>
          <w:b/>
          <w:sz w:val="26"/>
          <w:szCs w:val="26"/>
        </w:rPr>
        <w:t>Nav deklarētās kopējās darījumu vērtības, bet PVN deklarācijās aprēķinātais rezultāts ir no budžeta atmaksājamā summa</w:t>
      </w:r>
    </w:p>
    <w:p w:rsidR="00103EDF" w:rsidRPr="00E01F8F" w:rsidRDefault="00103EDF" w:rsidP="00103EDF">
      <w:pPr>
        <w:tabs>
          <w:tab w:val="left" w:pos="360"/>
          <w:tab w:val="left" w:pos="1080"/>
        </w:tabs>
        <w:spacing w:after="0" w:line="240" w:lineRule="auto"/>
        <w:jc w:val="center"/>
        <w:rPr>
          <w:rFonts w:ascii="Times New Roman" w:hAnsi="Times New Roman"/>
          <w:b/>
          <w:sz w:val="28"/>
          <w:szCs w:val="28"/>
        </w:rPr>
      </w:pPr>
    </w:p>
    <w:tbl>
      <w:tblPr>
        <w:tblW w:w="8140" w:type="dxa"/>
        <w:tblInd w:w="93" w:type="dxa"/>
        <w:tblLook w:val="04A0" w:firstRow="1" w:lastRow="0" w:firstColumn="1" w:lastColumn="0" w:noHBand="0" w:noVBand="1"/>
      </w:tblPr>
      <w:tblGrid>
        <w:gridCol w:w="1880"/>
        <w:gridCol w:w="960"/>
        <w:gridCol w:w="1132"/>
        <w:gridCol w:w="960"/>
        <w:gridCol w:w="1132"/>
        <w:gridCol w:w="960"/>
        <w:gridCol w:w="1132"/>
      </w:tblGrid>
      <w:tr w:rsidR="00103EDF" w:rsidRPr="00A36429" w:rsidTr="00C43315">
        <w:trPr>
          <w:trHeight w:val="270"/>
        </w:trPr>
        <w:tc>
          <w:tcPr>
            <w:tcW w:w="1880" w:type="dxa"/>
            <w:vMerge w:val="restart"/>
            <w:tcBorders>
              <w:top w:val="single" w:sz="8" w:space="0" w:color="FFFFFF"/>
              <w:left w:val="single" w:sz="8" w:space="0" w:color="FFFFFF"/>
              <w:bottom w:val="single" w:sz="8" w:space="0" w:color="FFFFFF"/>
              <w:right w:val="single" w:sz="8" w:space="0" w:color="FFFFFF"/>
            </w:tcBorders>
            <w:shd w:val="clear" w:color="000000" w:fill="95B3D7"/>
            <w:noWrap/>
            <w:vAlign w:val="center"/>
            <w:hideMark/>
          </w:tcPr>
          <w:p w:rsidR="00103EDF" w:rsidRPr="00A36429" w:rsidRDefault="00103EDF" w:rsidP="00C43315">
            <w:pPr>
              <w:spacing w:after="0" w:line="240" w:lineRule="auto"/>
              <w:jc w:val="center"/>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Nozare</w:t>
            </w:r>
          </w:p>
        </w:tc>
        <w:tc>
          <w:tcPr>
            <w:tcW w:w="2080" w:type="dxa"/>
            <w:gridSpan w:val="2"/>
            <w:tcBorders>
              <w:top w:val="single" w:sz="8" w:space="0" w:color="FFFFFF"/>
              <w:left w:val="nil"/>
              <w:bottom w:val="single" w:sz="12" w:space="0" w:color="FFFFFF"/>
              <w:right w:val="single" w:sz="8" w:space="0" w:color="FFFFFF"/>
            </w:tcBorders>
            <w:shd w:val="clear" w:color="000000" w:fill="95B3D7"/>
            <w:noWrap/>
            <w:vAlign w:val="center"/>
            <w:hideMark/>
          </w:tcPr>
          <w:p w:rsidR="00103EDF" w:rsidRPr="00A36429" w:rsidRDefault="00103EDF" w:rsidP="00C43315">
            <w:pPr>
              <w:spacing w:after="0" w:line="240" w:lineRule="auto"/>
              <w:jc w:val="center"/>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20</w:t>
            </w:r>
            <w:r>
              <w:rPr>
                <w:rFonts w:ascii="Times New Roman" w:eastAsia="Times New Roman" w:hAnsi="Times New Roman"/>
                <w:color w:val="000000"/>
                <w:sz w:val="20"/>
                <w:szCs w:val="20"/>
                <w:lang w:eastAsia="lv-LV"/>
              </w:rPr>
              <w:t>11</w:t>
            </w:r>
            <w:r w:rsidRPr="00A36429">
              <w:rPr>
                <w:rFonts w:ascii="Times New Roman" w:eastAsia="Times New Roman" w:hAnsi="Times New Roman"/>
                <w:color w:val="000000"/>
                <w:sz w:val="20"/>
                <w:szCs w:val="20"/>
                <w:lang w:eastAsia="lv-LV"/>
              </w:rPr>
              <w:t>.gads</w:t>
            </w:r>
          </w:p>
        </w:tc>
        <w:tc>
          <w:tcPr>
            <w:tcW w:w="2060" w:type="dxa"/>
            <w:gridSpan w:val="2"/>
            <w:tcBorders>
              <w:top w:val="single" w:sz="8" w:space="0" w:color="FFFFFF"/>
              <w:left w:val="nil"/>
              <w:bottom w:val="single" w:sz="12" w:space="0" w:color="FFFFFF"/>
              <w:right w:val="single" w:sz="8" w:space="0" w:color="FFFFFF"/>
            </w:tcBorders>
            <w:shd w:val="clear" w:color="000000" w:fill="95B3D7"/>
            <w:vAlign w:val="center"/>
            <w:hideMark/>
          </w:tcPr>
          <w:p w:rsidR="00103EDF" w:rsidRPr="00A36429" w:rsidRDefault="00103EDF" w:rsidP="00C43315">
            <w:pPr>
              <w:spacing w:after="0" w:line="240" w:lineRule="auto"/>
              <w:jc w:val="center"/>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2012.gads</w:t>
            </w:r>
          </w:p>
        </w:tc>
        <w:tc>
          <w:tcPr>
            <w:tcW w:w="2120" w:type="dxa"/>
            <w:gridSpan w:val="2"/>
            <w:tcBorders>
              <w:top w:val="single" w:sz="8" w:space="0" w:color="FFFFFF"/>
              <w:left w:val="nil"/>
              <w:bottom w:val="single" w:sz="12" w:space="0" w:color="FFFFFF"/>
              <w:right w:val="single" w:sz="8" w:space="0" w:color="FFFFFF"/>
            </w:tcBorders>
            <w:shd w:val="clear" w:color="000000" w:fill="95B3D7"/>
            <w:vAlign w:val="center"/>
            <w:hideMark/>
          </w:tcPr>
          <w:p w:rsidR="00103EDF" w:rsidRPr="00A36429" w:rsidRDefault="00103EDF" w:rsidP="00C43315">
            <w:pPr>
              <w:spacing w:after="0" w:line="240" w:lineRule="auto"/>
              <w:jc w:val="center"/>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 xml:space="preserve">2013.gada 9 </w:t>
            </w:r>
            <w:proofErr w:type="spellStart"/>
            <w:r w:rsidRPr="00A36429">
              <w:rPr>
                <w:rFonts w:ascii="Times New Roman" w:eastAsia="Times New Roman" w:hAnsi="Times New Roman"/>
                <w:color w:val="000000"/>
                <w:sz w:val="20"/>
                <w:szCs w:val="20"/>
                <w:lang w:eastAsia="lv-LV"/>
              </w:rPr>
              <w:t>mēn</w:t>
            </w:r>
            <w:proofErr w:type="spellEnd"/>
            <w:r>
              <w:rPr>
                <w:rFonts w:ascii="Times New Roman" w:eastAsia="Times New Roman" w:hAnsi="Times New Roman"/>
                <w:color w:val="000000"/>
                <w:sz w:val="20"/>
                <w:szCs w:val="20"/>
                <w:lang w:eastAsia="lv-LV"/>
              </w:rPr>
              <w:t>.</w:t>
            </w:r>
          </w:p>
        </w:tc>
      </w:tr>
      <w:tr w:rsidR="00103EDF" w:rsidRPr="00A36429" w:rsidTr="00C43315">
        <w:trPr>
          <w:trHeight w:val="900"/>
        </w:trPr>
        <w:tc>
          <w:tcPr>
            <w:tcW w:w="1880" w:type="dxa"/>
            <w:vMerge/>
            <w:tcBorders>
              <w:top w:val="single" w:sz="8" w:space="0" w:color="FFFFFF"/>
              <w:left w:val="single" w:sz="8" w:space="0" w:color="FFFFFF"/>
              <w:bottom w:val="single" w:sz="8" w:space="0" w:color="FFFFFF"/>
              <w:right w:val="single" w:sz="8" w:space="0" w:color="FFFFFF"/>
            </w:tcBorders>
            <w:vAlign w:val="center"/>
            <w:hideMark/>
          </w:tcPr>
          <w:p w:rsidR="00103EDF" w:rsidRPr="00A36429" w:rsidRDefault="00103EDF" w:rsidP="00C43315">
            <w:pPr>
              <w:spacing w:after="0" w:line="240" w:lineRule="auto"/>
              <w:rPr>
                <w:rFonts w:ascii="Times New Roman" w:eastAsia="Times New Roman" w:hAnsi="Times New Roman"/>
                <w:color w:val="000000"/>
                <w:sz w:val="20"/>
                <w:szCs w:val="20"/>
                <w:lang w:eastAsia="lv-LV"/>
              </w:rPr>
            </w:pPr>
          </w:p>
        </w:tc>
        <w:tc>
          <w:tcPr>
            <w:tcW w:w="960" w:type="dxa"/>
            <w:tcBorders>
              <w:top w:val="single" w:sz="8" w:space="0" w:color="FFFFFF"/>
              <w:left w:val="nil"/>
              <w:bottom w:val="single" w:sz="8" w:space="0" w:color="FFFFFF"/>
              <w:right w:val="single" w:sz="8" w:space="0" w:color="FFFFFF"/>
            </w:tcBorders>
            <w:shd w:val="clear" w:color="000000" w:fill="95B3D7"/>
            <w:noWrap/>
            <w:vAlign w:val="center"/>
            <w:hideMark/>
          </w:tcPr>
          <w:p w:rsidR="00103EDF" w:rsidRPr="00A36429" w:rsidRDefault="00103EDF" w:rsidP="00C43315">
            <w:pPr>
              <w:spacing w:after="0" w:line="240" w:lineRule="auto"/>
              <w:jc w:val="center"/>
              <w:rPr>
                <w:rFonts w:ascii="Times New Roman" w:eastAsia="Times New Roman" w:hAnsi="Times New Roman"/>
                <w:color w:val="000000"/>
                <w:sz w:val="16"/>
                <w:szCs w:val="16"/>
                <w:lang w:eastAsia="lv-LV"/>
              </w:rPr>
            </w:pPr>
            <w:r w:rsidRPr="00A36429">
              <w:rPr>
                <w:rFonts w:ascii="Times New Roman" w:eastAsia="Times New Roman" w:hAnsi="Times New Roman"/>
                <w:color w:val="000000"/>
                <w:sz w:val="16"/>
                <w:szCs w:val="16"/>
                <w:lang w:eastAsia="lv-LV"/>
              </w:rPr>
              <w:t>NM skaits</w:t>
            </w:r>
          </w:p>
        </w:tc>
        <w:tc>
          <w:tcPr>
            <w:tcW w:w="1120" w:type="dxa"/>
            <w:tcBorders>
              <w:top w:val="single" w:sz="8" w:space="0" w:color="FFFFFF"/>
              <w:left w:val="nil"/>
              <w:bottom w:val="single" w:sz="8" w:space="0" w:color="FFFFFF"/>
              <w:right w:val="single" w:sz="8" w:space="0" w:color="FFFFFF"/>
            </w:tcBorders>
            <w:shd w:val="clear" w:color="000000" w:fill="95B3D7"/>
            <w:vAlign w:val="center"/>
            <w:hideMark/>
          </w:tcPr>
          <w:p w:rsidR="00103EDF" w:rsidRPr="00A36429" w:rsidRDefault="00103EDF" w:rsidP="00C43315">
            <w:pPr>
              <w:spacing w:after="0" w:line="240" w:lineRule="auto"/>
              <w:jc w:val="center"/>
              <w:rPr>
                <w:rFonts w:ascii="Times New Roman" w:eastAsia="Times New Roman" w:hAnsi="Times New Roman"/>
                <w:color w:val="000000"/>
                <w:sz w:val="16"/>
                <w:szCs w:val="16"/>
                <w:lang w:eastAsia="lv-LV"/>
              </w:rPr>
            </w:pPr>
            <w:r w:rsidRPr="00A36429">
              <w:rPr>
                <w:rFonts w:ascii="Times New Roman" w:eastAsia="Times New Roman" w:hAnsi="Times New Roman"/>
                <w:color w:val="000000"/>
                <w:sz w:val="16"/>
                <w:szCs w:val="16"/>
                <w:lang w:eastAsia="lv-LV"/>
              </w:rPr>
              <w:t>Priekšnodokļa summa, tūkst. latu</w:t>
            </w:r>
          </w:p>
        </w:tc>
        <w:tc>
          <w:tcPr>
            <w:tcW w:w="960" w:type="dxa"/>
            <w:tcBorders>
              <w:top w:val="single" w:sz="8" w:space="0" w:color="FFFFFF"/>
              <w:left w:val="nil"/>
              <w:bottom w:val="single" w:sz="8" w:space="0" w:color="FFFFFF"/>
              <w:right w:val="single" w:sz="8" w:space="0" w:color="FFFFFF"/>
            </w:tcBorders>
            <w:shd w:val="clear" w:color="000000" w:fill="95B3D7"/>
            <w:noWrap/>
            <w:vAlign w:val="center"/>
            <w:hideMark/>
          </w:tcPr>
          <w:p w:rsidR="00103EDF" w:rsidRPr="00A36429" w:rsidRDefault="00103EDF" w:rsidP="00C43315">
            <w:pPr>
              <w:spacing w:after="0" w:line="240" w:lineRule="auto"/>
              <w:jc w:val="center"/>
              <w:rPr>
                <w:rFonts w:ascii="Times New Roman" w:eastAsia="Times New Roman" w:hAnsi="Times New Roman"/>
                <w:color w:val="000000"/>
                <w:sz w:val="16"/>
                <w:szCs w:val="16"/>
                <w:lang w:eastAsia="lv-LV"/>
              </w:rPr>
            </w:pPr>
            <w:r w:rsidRPr="00A36429">
              <w:rPr>
                <w:rFonts w:ascii="Times New Roman" w:eastAsia="Times New Roman" w:hAnsi="Times New Roman"/>
                <w:color w:val="000000"/>
                <w:sz w:val="16"/>
                <w:szCs w:val="16"/>
                <w:lang w:eastAsia="lv-LV"/>
              </w:rPr>
              <w:t>NM skaits</w:t>
            </w:r>
          </w:p>
        </w:tc>
        <w:tc>
          <w:tcPr>
            <w:tcW w:w="1100" w:type="dxa"/>
            <w:tcBorders>
              <w:top w:val="single" w:sz="8" w:space="0" w:color="FFFFFF"/>
              <w:left w:val="nil"/>
              <w:bottom w:val="single" w:sz="8" w:space="0" w:color="FFFFFF"/>
              <w:right w:val="single" w:sz="8" w:space="0" w:color="FFFFFF"/>
            </w:tcBorders>
            <w:shd w:val="clear" w:color="000000" w:fill="95B3D7"/>
            <w:vAlign w:val="center"/>
            <w:hideMark/>
          </w:tcPr>
          <w:p w:rsidR="00103EDF" w:rsidRPr="00A36429" w:rsidRDefault="00103EDF" w:rsidP="00C43315">
            <w:pPr>
              <w:spacing w:after="0" w:line="240" w:lineRule="auto"/>
              <w:jc w:val="center"/>
              <w:rPr>
                <w:rFonts w:ascii="Times New Roman" w:eastAsia="Times New Roman" w:hAnsi="Times New Roman"/>
                <w:color w:val="000000"/>
                <w:sz w:val="16"/>
                <w:szCs w:val="16"/>
                <w:lang w:eastAsia="lv-LV"/>
              </w:rPr>
            </w:pPr>
            <w:r w:rsidRPr="00A36429">
              <w:rPr>
                <w:rFonts w:ascii="Times New Roman" w:eastAsia="Times New Roman" w:hAnsi="Times New Roman"/>
                <w:color w:val="000000"/>
                <w:sz w:val="16"/>
                <w:szCs w:val="16"/>
                <w:lang w:eastAsia="lv-LV"/>
              </w:rPr>
              <w:t>Priekšnodokļa summa, tūkst. latu</w:t>
            </w:r>
          </w:p>
        </w:tc>
        <w:tc>
          <w:tcPr>
            <w:tcW w:w="960" w:type="dxa"/>
            <w:tcBorders>
              <w:top w:val="single" w:sz="8" w:space="0" w:color="FFFFFF"/>
              <w:left w:val="nil"/>
              <w:bottom w:val="single" w:sz="8" w:space="0" w:color="FFFFFF"/>
              <w:right w:val="single" w:sz="8" w:space="0" w:color="FFFFFF"/>
            </w:tcBorders>
            <w:shd w:val="clear" w:color="000000" w:fill="95B3D7"/>
            <w:noWrap/>
            <w:vAlign w:val="center"/>
            <w:hideMark/>
          </w:tcPr>
          <w:p w:rsidR="00103EDF" w:rsidRPr="00A36429" w:rsidRDefault="00103EDF" w:rsidP="00C43315">
            <w:pPr>
              <w:spacing w:after="0" w:line="240" w:lineRule="auto"/>
              <w:jc w:val="center"/>
              <w:rPr>
                <w:rFonts w:ascii="Times New Roman" w:eastAsia="Times New Roman" w:hAnsi="Times New Roman"/>
                <w:color w:val="000000"/>
                <w:sz w:val="16"/>
                <w:szCs w:val="16"/>
                <w:lang w:eastAsia="lv-LV"/>
              </w:rPr>
            </w:pPr>
            <w:r w:rsidRPr="00A36429">
              <w:rPr>
                <w:rFonts w:ascii="Times New Roman" w:eastAsia="Times New Roman" w:hAnsi="Times New Roman"/>
                <w:color w:val="000000"/>
                <w:sz w:val="16"/>
                <w:szCs w:val="16"/>
                <w:lang w:eastAsia="lv-LV"/>
              </w:rPr>
              <w:t>NM skaits</w:t>
            </w:r>
          </w:p>
        </w:tc>
        <w:tc>
          <w:tcPr>
            <w:tcW w:w="1160" w:type="dxa"/>
            <w:tcBorders>
              <w:top w:val="single" w:sz="8" w:space="0" w:color="FFFFFF"/>
              <w:left w:val="nil"/>
              <w:bottom w:val="single" w:sz="8" w:space="0" w:color="FFFFFF"/>
              <w:right w:val="single" w:sz="8" w:space="0" w:color="FFFFFF"/>
            </w:tcBorders>
            <w:shd w:val="clear" w:color="000000" w:fill="95B3D7"/>
            <w:vAlign w:val="center"/>
            <w:hideMark/>
          </w:tcPr>
          <w:p w:rsidR="00103EDF" w:rsidRPr="00A36429" w:rsidRDefault="00103EDF" w:rsidP="00C43315">
            <w:pPr>
              <w:spacing w:after="0" w:line="240" w:lineRule="auto"/>
              <w:jc w:val="center"/>
              <w:rPr>
                <w:rFonts w:ascii="Times New Roman" w:eastAsia="Times New Roman" w:hAnsi="Times New Roman"/>
                <w:color w:val="000000"/>
                <w:sz w:val="16"/>
                <w:szCs w:val="16"/>
                <w:lang w:eastAsia="lv-LV"/>
              </w:rPr>
            </w:pPr>
            <w:r w:rsidRPr="00A36429">
              <w:rPr>
                <w:rFonts w:ascii="Times New Roman" w:eastAsia="Times New Roman" w:hAnsi="Times New Roman"/>
                <w:color w:val="000000"/>
                <w:sz w:val="16"/>
                <w:szCs w:val="16"/>
                <w:lang w:eastAsia="lv-LV"/>
              </w:rPr>
              <w:t>Priekšnodokļa summa, tūkst. latu</w:t>
            </w:r>
          </w:p>
        </w:tc>
      </w:tr>
      <w:tr w:rsidR="00103EDF" w:rsidRPr="00A36429" w:rsidTr="00C43315">
        <w:trPr>
          <w:trHeight w:val="525"/>
        </w:trPr>
        <w:tc>
          <w:tcPr>
            <w:tcW w:w="1880" w:type="dxa"/>
            <w:tcBorders>
              <w:top w:val="nil"/>
              <w:left w:val="single" w:sz="8" w:space="0" w:color="FFFFFF"/>
              <w:bottom w:val="nil"/>
              <w:right w:val="single" w:sz="12" w:space="0" w:color="FFFFFF"/>
            </w:tcBorders>
            <w:shd w:val="clear" w:color="000000" w:fill="95B3D7"/>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Zobārstu prakse</w:t>
            </w:r>
          </w:p>
        </w:tc>
        <w:tc>
          <w:tcPr>
            <w:tcW w:w="960" w:type="dxa"/>
            <w:tcBorders>
              <w:top w:val="nil"/>
              <w:left w:val="nil"/>
              <w:bottom w:val="single" w:sz="8" w:space="0" w:color="FFFFFF"/>
              <w:right w:val="single" w:sz="8" w:space="0" w:color="FFFFFF"/>
            </w:tcBorders>
            <w:shd w:val="clear" w:color="000000" w:fill="DBE5F1"/>
            <w:noWrap/>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0</w:t>
            </w:r>
          </w:p>
        </w:tc>
        <w:tc>
          <w:tcPr>
            <w:tcW w:w="1120" w:type="dxa"/>
            <w:tcBorders>
              <w:top w:val="nil"/>
              <w:left w:val="nil"/>
              <w:bottom w:val="single" w:sz="8" w:space="0" w:color="FFFFFF"/>
              <w:right w:val="single" w:sz="8" w:space="0" w:color="FFFFFF"/>
            </w:tcBorders>
            <w:shd w:val="clear" w:color="000000" w:fill="DBE5F1"/>
            <w:noWrap/>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0</w:t>
            </w:r>
          </w:p>
        </w:tc>
        <w:tc>
          <w:tcPr>
            <w:tcW w:w="960" w:type="dxa"/>
            <w:tcBorders>
              <w:top w:val="nil"/>
              <w:left w:val="nil"/>
              <w:bottom w:val="single" w:sz="8" w:space="0" w:color="FFFFFF"/>
              <w:right w:val="single" w:sz="8" w:space="0" w:color="FFFFFF"/>
            </w:tcBorders>
            <w:shd w:val="clear" w:color="000000" w:fill="DBE5F1"/>
            <w:noWrap/>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2</w:t>
            </w:r>
          </w:p>
        </w:tc>
        <w:tc>
          <w:tcPr>
            <w:tcW w:w="1100" w:type="dxa"/>
            <w:tcBorders>
              <w:top w:val="nil"/>
              <w:left w:val="nil"/>
              <w:bottom w:val="single" w:sz="8" w:space="0" w:color="FFFFFF"/>
              <w:right w:val="single" w:sz="8" w:space="0" w:color="FFFFFF"/>
            </w:tcBorders>
            <w:shd w:val="clear" w:color="000000" w:fill="DBE5F1"/>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2,83</w:t>
            </w:r>
          </w:p>
        </w:tc>
        <w:tc>
          <w:tcPr>
            <w:tcW w:w="960" w:type="dxa"/>
            <w:tcBorders>
              <w:top w:val="nil"/>
              <w:left w:val="nil"/>
              <w:bottom w:val="single" w:sz="8" w:space="0" w:color="FFFFFF"/>
              <w:right w:val="single" w:sz="8" w:space="0" w:color="FFFFFF"/>
            </w:tcBorders>
            <w:shd w:val="clear" w:color="000000" w:fill="DBE5F1"/>
            <w:noWrap/>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2</w:t>
            </w:r>
          </w:p>
        </w:tc>
        <w:tc>
          <w:tcPr>
            <w:tcW w:w="1160" w:type="dxa"/>
            <w:tcBorders>
              <w:top w:val="nil"/>
              <w:left w:val="nil"/>
              <w:bottom w:val="single" w:sz="8" w:space="0" w:color="FFFFFF"/>
              <w:right w:val="single" w:sz="8" w:space="0" w:color="FFFFFF"/>
            </w:tcBorders>
            <w:shd w:val="clear" w:color="000000" w:fill="DBE5F1"/>
            <w:vAlign w:val="center"/>
            <w:hideMark/>
          </w:tcPr>
          <w:p w:rsidR="00103EDF" w:rsidRPr="00A36429" w:rsidRDefault="00103EDF" w:rsidP="00C43315">
            <w:pPr>
              <w:spacing w:after="0" w:line="240" w:lineRule="auto"/>
              <w:jc w:val="right"/>
              <w:rPr>
                <w:rFonts w:ascii="Times New Roman" w:eastAsia="Times New Roman" w:hAnsi="Times New Roman"/>
                <w:color w:val="000000"/>
                <w:sz w:val="20"/>
                <w:szCs w:val="20"/>
                <w:lang w:eastAsia="lv-LV"/>
              </w:rPr>
            </w:pPr>
            <w:r w:rsidRPr="00A36429">
              <w:rPr>
                <w:rFonts w:ascii="Times New Roman" w:eastAsia="Times New Roman" w:hAnsi="Times New Roman"/>
                <w:color w:val="000000"/>
                <w:sz w:val="20"/>
                <w:szCs w:val="20"/>
                <w:lang w:eastAsia="lv-LV"/>
              </w:rPr>
              <w:t>0,66</w:t>
            </w:r>
          </w:p>
        </w:tc>
      </w:tr>
    </w:tbl>
    <w:p w:rsidR="00B34113" w:rsidRDefault="00B34113" w:rsidP="00B34113">
      <w:pPr>
        <w:spacing w:after="0" w:line="240" w:lineRule="auto"/>
        <w:ind w:firstLine="720"/>
        <w:jc w:val="both"/>
        <w:rPr>
          <w:rFonts w:ascii="Times New Roman" w:hAnsi="Times New Roman"/>
          <w:sz w:val="28"/>
          <w:szCs w:val="28"/>
        </w:rPr>
      </w:pPr>
    </w:p>
    <w:p w:rsidR="00B83CD6" w:rsidRDefault="00B83CD6" w:rsidP="00B34113">
      <w:pPr>
        <w:spacing w:after="0" w:line="240" w:lineRule="auto"/>
        <w:ind w:firstLine="720"/>
        <w:jc w:val="both"/>
        <w:rPr>
          <w:rFonts w:ascii="Times New Roman" w:hAnsi="Times New Roman"/>
          <w:sz w:val="28"/>
          <w:szCs w:val="28"/>
        </w:rPr>
      </w:pPr>
    </w:p>
    <w:p w:rsidR="00B34113" w:rsidRPr="00103EDF" w:rsidRDefault="00103EDF" w:rsidP="00103EDF">
      <w:pPr>
        <w:pStyle w:val="ListParagraph"/>
        <w:spacing w:after="0" w:line="240" w:lineRule="auto"/>
        <w:ind w:hanging="720"/>
        <w:jc w:val="both"/>
        <w:rPr>
          <w:rFonts w:ascii="Times New Roman" w:hAnsi="Times New Roman"/>
          <w:b/>
          <w:sz w:val="26"/>
          <w:szCs w:val="26"/>
        </w:rPr>
      </w:pPr>
      <w:r w:rsidRPr="00103EDF">
        <w:rPr>
          <w:rFonts w:ascii="Times New Roman" w:hAnsi="Times New Roman"/>
          <w:b/>
          <w:sz w:val="26"/>
          <w:szCs w:val="26"/>
        </w:rPr>
        <w:t>5. </w:t>
      </w:r>
      <w:r w:rsidR="00B34113" w:rsidRPr="00103EDF">
        <w:rPr>
          <w:rFonts w:ascii="Times New Roman" w:hAnsi="Times New Roman"/>
          <w:b/>
          <w:sz w:val="26"/>
          <w:szCs w:val="26"/>
        </w:rPr>
        <w:t>Nodarbināto skaits un darba samaksa</w:t>
      </w:r>
    </w:p>
    <w:p w:rsidR="00B34113" w:rsidRPr="00103EDF" w:rsidRDefault="00B34113" w:rsidP="00B34113">
      <w:pPr>
        <w:spacing w:after="0" w:line="240" w:lineRule="auto"/>
        <w:jc w:val="both"/>
        <w:rPr>
          <w:rFonts w:ascii="Times New Roman" w:hAnsi="Times New Roman"/>
          <w:b/>
          <w:sz w:val="26"/>
          <w:szCs w:val="26"/>
        </w:rPr>
      </w:pPr>
    </w:p>
    <w:p w:rsidR="00B34113" w:rsidRPr="00103EDF" w:rsidRDefault="00B34113" w:rsidP="00B34113">
      <w:pPr>
        <w:spacing w:after="0" w:line="240" w:lineRule="auto"/>
        <w:ind w:firstLine="720"/>
        <w:jc w:val="both"/>
        <w:rPr>
          <w:rFonts w:ascii="Times New Roman" w:hAnsi="Times New Roman"/>
          <w:sz w:val="26"/>
          <w:szCs w:val="26"/>
        </w:rPr>
      </w:pPr>
      <w:r w:rsidRPr="00103EDF">
        <w:rPr>
          <w:rFonts w:ascii="Times New Roman" w:hAnsi="Times New Roman"/>
          <w:b/>
          <w:sz w:val="26"/>
          <w:szCs w:val="26"/>
        </w:rPr>
        <w:t>Pēc informācijas iesniegtajos darba devēju ziņojumos par valsts sociālās apdrošināšanas obligātajām iemaksām</w:t>
      </w:r>
      <w:r w:rsidRPr="00103EDF">
        <w:rPr>
          <w:rFonts w:ascii="Times New Roman" w:hAnsi="Times New Roman"/>
          <w:sz w:val="26"/>
          <w:szCs w:val="26"/>
        </w:rPr>
        <w:t>, 2013.gada 1.pusgadā nozarē bija nodarbināti vidēji 0,4 % no visiem darba ņēmējiem, kas ir tikpat, cik vidēji 2012.gadā. Nozarē 2013.gada 1.pusgadā bija nodarbināti vidēji 2 925 darba ņēmēji, kas ir par 1,3 % vairāk nekā 2012.gada attiecīgajā periodā un par 0,6 % vairāk nekā 2012.gadā.</w:t>
      </w:r>
    </w:p>
    <w:p w:rsidR="00B34113" w:rsidRPr="00103EDF" w:rsidRDefault="00B34113" w:rsidP="00B34113">
      <w:pPr>
        <w:spacing w:after="0" w:line="240" w:lineRule="auto"/>
        <w:ind w:firstLine="720"/>
        <w:jc w:val="both"/>
        <w:rPr>
          <w:rFonts w:ascii="Times New Roman" w:hAnsi="Times New Roman"/>
          <w:sz w:val="26"/>
          <w:szCs w:val="26"/>
        </w:rPr>
      </w:pPr>
      <w:r w:rsidRPr="00103EDF">
        <w:rPr>
          <w:rFonts w:ascii="Times New Roman" w:hAnsi="Times New Roman"/>
          <w:bCs/>
          <w:sz w:val="26"/>
          <w:szCs w:val="26"/>
        </w:rPr>
        <w:t xml:space="preserve">2013.gada 1.pusgadā vidēji 37,7 % no nozarē nodarbinātajiem saņēma valstī noteikto minimālo darba samaksu vai mazāku par to, kas ir vairāk nekā vidēji valstī (30,0%). </w:t>
      </w:r>
      <w:r w:rsidRPr="00103EDF">
        <w:rPr>
          <w:rFonts w:ascii="Times New Roman" w:hAnsi="Times New Roman"/>
          <w:sz w:val="26"/>
          <w:szCs w:val="26"/>
        </w:rPr>
        <w:t>2012.gadā valstī noteikto minimālo darba samaksu vai mazāku par to saņēma vidēji 43,1 % no nozarē nodarbinātajiem, kas arī ir vairāk nekā vidēji valstī (31,6%).</w:t>
      </w:r>
    </w:p>
    <w:p w:rsidR="00B83CD6" w:rsidRDefault="00B83CD6">
      <w:pPr>
        <w:spacing w:after="0" w:line="240" w:lineRule="auto"/>
        <w:rPr>
          <w:rFonts w:ascii="Times New Roman" w:hAnsi="Times New Roman"/>
          <w:sz w:val="26"/>
          <w:szCs w:val="26"/>
        </w:rPr>
      </w:pPr>
      <w:r>
        <w:rPr>
          <w:rFonts w:ascii="Times New Roman" w:hAnsi="Times New Roman"/>
          <w:sz w:val="26"/>
          <w:szCs w:val="26"/>
        </w:rPr>
        <w:br w:type="page"/>
      </w:r>
    </w:p>
    <w:p w:rsidR="00B34113" w:rsidRPr="00103EDF" w:rsidRDefault="00B34113" w:rsidP="00B34113">
      <w:pPr>
        <w:spacing w:after="0" w:line="240" w:lineRule="auto"/>
        <w:ind w:firstLine="720"/>
        <w:jc w:val="both"/>
        <w:rPr>
          <w:rFonts w:ascii="Times New Roman" w:hAnsi="Times New Roman"/>
          <w:sz w:val="26"/>
          <w:szCs w:val="26"/>
        </w:rPr>
      </w:pPr>
      <w:r w:rsidRPr="00103EDF">
        <w:rPr>
          <w:rFonts w:ascii="Times New Roman" w:hAnsi="Times New Roman"/>
          <w:sz w:val="26"/>
          <w:szCs w:val="26"/>
        </w:rPr>
        <w:lastRenderedPageBreak/>
        <w:t>Zobārstniecības nozarē 2013.gada 1.pusgadā nodarbināto vidējie darba ienākumi bija 332 lati, kas ir par 7,8 % vairāk nekā 2012.gadā (308 lati), bet par 22,6 % mazāk nekā 2013.gada 1.pusgadā vidēji valstī (429 lati).</w:t>
      </w:r>
    </w:p>
    <w:p w:rsidR="00B34113" w:rsidRPr="00103EDF" w:rsidRDefault="00B34113" w:rsidP="00B34113">
      <w:pPr>
        <w:spacing w:after="0" w:line="240" w:lineRule="auto"/>
        <w:ind w:firstLine="720"/>
        <w:jc w:val="both"/>
        <w:rPr>
          <w:rFonts w:ascii="Times New Roman" w:hAnsi="Times New Roman"/>
          <w:bCs/>
          <w:sz w:val="26"/>
          <w:szCs w:val="26"/>
        </w:rPr>
      </w:pPr>
      <w:r w:rsidRPr="00103EDF">
        <w:rPr>
          <w:rFonts w:ascii="Times New Roman" w:hAnsi="Times New Roman"/>
          <w:bCs/>
          <w:sz w:val="26"/>
          <w:szCs w:val="26"/>
        </w:rPr>
        <w:t>2013.gada 1.pusgadā vidēji 60,8 % no visiem nozares darba devējiem iesniegtajos ziņojumos par valsts sociālās apdrošināšanas obligātajām iemaksām uzrādījuši līdz pieciem darba ņēmējiem (valstī kopumā vidēji 73,7 % darba devēju norāda darba ņēmēju skaitu līdz pieciem darbiniekiem). 2012.gadā tādi bija vidēji 61,8 %.</w:t>
      </w:r>
    </w:p>
    <w:p w:rsidR="00B34113" w:rsidRPr="00103EDF" w:rsidRDefault="00B34113" w:rsidP="00B34113">
      <w:pPr>
        <w:spacing w:before="240" w:after="0" w:line="240" w:lineRule="auto"/>
        <w:ind w:firstLine="720"/>
        <w:jc w:val="both"/>
        <w:rPr>
          <w:rFonts w:ascii="Times New Roman" w:hAnsi="Times New Roman"/>
          <w:sz w:val="26"/>
          <w:szCs w:val="26"/>
        </w:rPr>
      </w:pPr>
      <w:r w:rsidRPr="00103EDF">
        <w:rPr>
          <w:rFonts w:ascii="Times New Roman" w:hAnsi="Times New Roman"/>
          <w:b/>
          <w:sz w:val="26"/>
          <w:szCs w:val="26"/>
        </w:rPr>
        <w:t xml:space="preserve">Pēc iesniegto </w:t>
      </w:r>
      <w:proofErr w:type="spellStart"/>
      <w:r w:rsidRPr="00103EDF">
        <w:rPr>
          <w:rFonts w:ascii="Times New Roman" w:hAnsi="Times New Roman"/>
          <w:b/>
          <w:sz w:val="26"/>
          <w:szCs w:val="26"/>
        </w:rPr>
        <w:t>mikrouzņēmumu</w:t>
      </w:r>
      <w:proofErr w:type="spellEnd"/>
      <w:r w:rsidRPr="00103EDF">
        <w:rPr>
          <w:rFonts w:ascii="Times New Roman" w:hAnsi="Times New Roman"/>
          <w:b/>
          <w:sz w:val="26"/>
          <w:szCs w:val="26"/>
        </w:rPr>
        <w:t xml:space="preserve"> nodokļa deklarāciju datiem</w:t>
      </w:r>
      <w:r w:rsidRPr="00103EDF">
        <w:rPr>
          <w:rFonts w:ascii="Times New Roman" w:hAnsi="Times New Roman"/>
          <w:sz w:val="26"/>
          <w:szCs w:val="26"/>
        </w:rPr>
        <w:t xml:space="preserve">, 2013.gada 1.pusgadā nozarē bija nodarbināti vidēji 0,5 % no visiem </w:t>
      </w:r>
      <w:proofErr w:type="spellStart"/>
      <w:r w:rsidRPr="00103EDF">
        <w:rPr>
          <w:rFonts w:ascii="Times New Roman" w:hAnsi="Times New Roman"/>
          <w:sz w:val="26"/>
          <w:szCs w:val="26"/>
        </w:rPr>
        <w:t>mikrouzņēmumos</w:t>
      </w:r>
      <w:proofErr w:type="spellEnd"/>
      <w:r w:rsidRPr="00103EDF">
        <w:rPr>
          <w:rFonts w:ascii="Times New Roman" w:hAnsi="Times New Roman"/>
          <w:sz w:val="26"/>
          <w:szCs w:val="26"/>
        </w:rPr>
        <w:t xml:space="preserve"> nodarbinātajiem. 2013.gada 1.pusgadā nozarē bija nodarbināti vidēji 272 darbinieki, kas ir par 48,8 % vairāk nekā 2012.gada attiecīgajā periodā un par 40,3 % vairāk nekā vidēji 2012.gadā.</w:t>
      </w:r>
    </w:p>
    <w:p w:rsidR="00B34113" w:rsidRPr="00103EDF" w:rsidRDefault="00B34113" w:rsidP="00B34113">
      <w:pPr>
        <w:spacing w:after="0" w:line="240" w:lineRule="auto"/>
        <w:ind w:firstLine="720"/>
        <w:jc w:val="both"/>
        <w:rPr>
          <w:rFonts w:ascii="Times New Roman" w:hAnsi="Times New Roman"/>
          <w:sz w:val="26"/>
          <w:szCs w:val="26"/>
        </w:rPr>
      </w:pPr>
      <w:r w:rsidRPr="00103EDF">
        <w:rPr>
          <w:rFonts w:ascii="Times New Roman" w:hAnsi="Times New Roman"/>
          <w:bCs/>
          <w:sz w:val="26"/>
          <w:szCs w:val="26"/>
        </w:rPr>
        <w:t xml:space="preserve">2013.gada 1.pusgadā vidēji 35,5 % no nozares </w:t>
      </w:r>
      <w:proofErr w:type="spellStart"/>
      <w:r w:rsidRPr="00103EDF">
        <w:rPr>
          <w:rFonts w:ascii="Times New Roman" w:hAnsi="Times New Roman"/>
          <w:bCs/>
          <w:sz w:val="26"/>
          <w:szCs w:val="26"/>
        </w:rPr>
        <w:t>mikrouzņēmumos</w:t>
      </w:r>
      <w:proofErr w:type="spellEnd"/>
      <w:r w:rsidRPr="00103EDF">
        <w:rPr>
          <w:rFonts w:ascii="Times New Roman" w:hAnsi="Times New Roman"/>
          <w:bCs/>
          <w:sz w:val="26"/>
          <w:szCs w:val="26"/>
        </w:rPr>
        <w:t xml:space="preserve"> nodarbinātajiem saņēma valstī noteikto minimālo darba samaksu vai mazāku par to, </w:t>
      </w:r>
      <w:r w:rsidRPr="00103EDF">
        <w:rPr>
          <w:rFonts w:ascii="Times New Roman" w:hAnsi="Times New Roman"/>
          <w:sz w:val="26"/>
          <w:szCs w:val="26"/>
        </w:rPr>
        <w:t>kas ir par 4,8 % mazāk nekā 2012.gada attiecīgajā periodā un par 2,4 % mazāk nekā vidēji 2012.gadā.</w:t>
      </w:r>
    </w:p>
    <w:p w:rsidR="00B34113" w:rsidRPr="00103EDF" w:rsidRDefault="00B34113" w:rsidP="00B34113">
      <w:pPr>
        <w:spacing w:after="0" w:line="240" w:lineRule="auto"/>
        <w:ind w:firstLine="720"/>
        <w:jc w:val="both"/>
        <w:rPr>
          <w:rFonts w:ascii="Times New Roman" w:hAnsi="Times New Roman"/>
          <w:sz w:val="26"/>
          <w:szCs w:val="26"/>
        </w:rPr>
      </w:pPr>
      <w:r w:rsidRPr="00103EDF">
        <w:rPr>
          <w:rFonts w:ascii="Times New Roman" w:hAnsi="Times New Roman"/>
          <w:sz w:val="26"/>
          <w:szCs w:val="26"/>
        </w:rPr>
        <w:t xml:space="preserve">Zobārstniecības nozarē 2013.gada 1.pusgadā </w:t>
      </w:r>
      <w:proofErr w:type="spellStart"/>
      <w:r w:rsidRPr="00103EDF">
        <w:rPr>
          <w:rFonts w:ascii="Times New Roman" w:hAnsi="Times New Roman"/>
          <w:sz w:val="26"/>
          <w:szCs w:val="26"/>
        </w:rPr>
        <w:t>mikrouzņēmumos</w:t>
      </w:r>
      <w:proofErr w:type="spellEnd"/>
      <w:r w:rsidRPr="00103EDF">
        <w:rPr>
          <w:rFonts w:ascii="Times New Roman" w:hAnsi="Times New Roman"/>
          <w:sz w:val="26"/>
          <w:szCs w:val="26"/>
        </w:rPr>
        <w:t xml:space="preserve"> nodarbināto vidējie darba ienākumi bija 348 lati, kas ir par 2,4 % vairāk kā 2012.gada attiecīgajā periodā, bet par 0,6 % mazāk nekā 2012.gadā (350 lati).</w:t>
      </w:r>
    </w:p>
    <w:p w:rsidR="00B83CD6" w:rsidRDefault="00B83CD6" w:rsidP="00C5597B">
      <w:pPr>
        <w:tabs>
          <w:tab w:val="left" w:pos="360"/>
          <w:tab w:val="left" w:pos="1080"/>
        </w:tabs>
        <w:spacing w:after="0" w:line="240" w:lineRule="auto"/>
        <w:rPr>
          <w:rFonts w:ascii="Times New Roman" w:hAnsi="Times New Roman"/>
          <w:b/>
          <w:sz w:val="26"/>
          <w:szCs w:val="26"/>
        </w:rPr>
      </w:pPr>
    </w:p>
    <w:p w:rsidR="00C5597B" w:rsidRPr="00B83CD6" w:rsidRDefault="00B83CD6" w:rsidP="00C5597B">
      <w:pPr>
        <w:tabs>
          <w:tab w:val="left" w:pos="360"/>
          <w:tab w:val="left" w:pos="1080"/>
        </w:tabs>
        <w:spacing w:after="0" w:line="240" w:lineRule="auto"/>
        <w:rPr>
          <w:rFonts w:ascii="Times New Roman" w:hAnsi="Times New Roman"/>
          <w:b/>
          <w:sz w:val="26"/>
          <w:szCs w:val="26"/>
        </w:rPr>
      </w:pPr>
      <w:r w:rsidRPr="00B83CD6">
        <w:rPr>
          <w:rFonts w:ascii="Times New Roman" w:hAnsi="Times New Roman"/>
          <w:b/>
          <w:sz w:val="26"/>
          <w:szCs w:val="26"/>
        </w:rPr>
        <w:t>6</w:t>
      </w:r>
      <w:r w:rsidR="00C5597B" w:rsidRPr="00B83CD6">
        <w:rPr>
          <w:rFonts w:ascii="Times New Roman" w:hAnsi="Times New Roman"/>
          <w:b/>
          <w:sz w:val="26"/>
          <w:szCs w:val="26"/>
        </w:rPr>
        <w:t xml:space="preserve">. Saimnieciskās darbības rezultāti </w:t>
      </w:r>
      <w:r w:rsidR="00C5597B" w:rsidRPr="00B83CD6">
        <w:rPr>
          <w:rFonts w:ascii="Times New Roman" w:hAnsi="Times New Roman"/>
          <w:i/>
          <w:sz w:val="26"/>
          <w:szCs w:val="26"/>
        </w:rPr>
        <w:t>(dati uz 2013.gada 2.oktobri)</w:t>
      </w:r>
    </w:p>
    <w:p w:rsidR="00C5597B" w:rsidRPr="00B83CD6" w:rsidRDefault="00C5597B" w:rsidP="00436987">
      <w:pPr>
        <w:tabs>
          <w:tab w:val="left" w:pos="360"/>
          <w:tab w:val="left" w:pos="1080"/>
        </w:tabs>
        <w:spacing w:after="0" w:line="240" w:lineRule="auto"/>
        <w:ind w:firstLine="720"/>
        <w:jc w:val="both"/>
        <w:rPr>
          <w:rFonts w:ascii="Times New Roman" w:hAnsi="Times New Roman"/>
          <w:color w:val="000000"/>
          <w:sz w:val="26"/>
          <w:szCs w:val="26"/>
        </w:rPr>
      </w:pPr>
      <w:r w:rsidRPr="00B83CD6">
        <w:rPr>
          <w:rFonts w:ascii="Times New Roman" w:hAnsi="Times New Roman"/>
          <w:sz w:val="26"/>
          <w:szCs w:val="26"/>
        </w:rPr>
        <w:t xml:space="preserve">Neto apgrozījums rāda uzņēmuma pamatdarbības ieņēmumus no preču vai pakalpojumu realizācijas, no kuriem atskaitīti nodokļi, kurus aprēķina no apgrozījuma, kā arī atlaides. Šajā postenī norāda arī norēķinu summas par nosūtītām precēm, par kurām samaksa vēl nav saņemta, bet norēķinu dokumenti ir </w:t>
      </w:r>
      <w:r w:rsidRPr="00B83CD6">
        <w:rPr>
          <w:rFonts w:ascii="Times New Roman" w:hAnsi="Times New Roman"/>
          <w:color w:val="000000"/>
          <w:sz w:val="26"/>
          <w:szCs w:val="26"/>
        </w:rPr>
        <w:t>iesniegti pircējiem vai arī kredītiestādei.</w:t>
      </w:r>
    </w:p>
    <w:p w:rsidR="00B83CD6" w:rsidRDefault="00436987" w:rsidP="00B83CD6">
      <w:pPr>
        <w:spacing w:line="240" w:lineRule="auto"/>
        <w:ind w:firstLine="720"/>
        <w:jc w:val="both"/>
        <w:rPr>
          <w:rFonts w:ascii="Times New Roman" w:hAnsi="Times New Roman"/>
          <w:i/>
          <w:color w:val="000000" w:themeColor="text1"/>
          <w:sz w:val="26"/>
          <w:szCs w:val="26"/>
        </w:rPr>
      </w:pPr>
      <w:r w:rsidRPr="00B83CD6">
        <w:rPr>
          <w:rFonts w:ascii="Times New Roman" w:hAnsi="Times New Roman"/>
          <w:sz w:val="26"/>
          <w:szCs w:val="26"/>
        </w:rPr>
        <w:t xml:space="preserve">Neto apgrozījumu zobārstniecības praksei pa gadiem var redzēt </w:t>
      </w:r>
      <w:r w:rsidR="00B83CD6" w:rsidRPr="00B83CD6">
        <w:rPr>
          <w:rFonts w:ascii="Times New Roman" w:hAnsi="Times New Roman"/>
          <w:i/>
          <w:color w:val="000000" w:themeColor="text1"/>
          <w:sz w:val="26"/>
          <w:szCs w:val="26"/>
        </w:rPr>
        <w:t>5</w:t>
      </w:r>
      <w:r w:rsidRPr="00B83CD6">
        <w:rPr>
          <w:rFonts w:ascii="Times New Roman" w:hAnsi="Times New Roman"/>
          <w:i/>
          <w:color w:val="000000" w:themeColor="text1"/>
          <w:sz w:val="26"/>
          <w:szCs w:val="26"/>
        </w:rPr>
        <w:t>.tabulā</w:t>
      </w:r>
      <w:r w:rsidR="00B83CD6" w:rsidRPr="00B83CD6">
        <w:rPr>
          <w:rFonts w:ascii="Times New Roman" w:hAnsi="Times New Roman"/>
          <w:i/>
          <w:color w:val="000000" w:themeColor="text1"/>
          <w:sz w:val="26"/>
          <w:szCs w:val="26"/>
        </w:rPr>
        <w:t>.</w:t>
      </w:r>
    </w:p>
    <w:p w:rsidR="00436987" w:rsidRPr="00B83CD6" w:rsidRDefault="00B83CD6" w:rsidP="00B83CD6">
      <w:pPr>
        <w:spacing w:after="0" w:line="240" w:lineRule="auto"/>
        <w:ind w:firstLine="720"/>
        <w:jc w:val="right"/>
        <w:rPr>
          <w:rFonts w:ascii="Times New Roman" w:hAnsi="Times New Roman"/>
          <w:color w:val="000000" w:themeColor="text1"/>
          <w:sz w:val="26"/>
          <w:szCs w:val="26"/>
        </w:rPr>
      </w:pPr>
      <w:r w:rsidRPr="00B83CD6">
        <w:rPr>
          <w:rFonts w:ascii="Times New Roman" w:hAnsi="Times New Roman"/>
          <w:color w:val="000000" w:themeColor="text1"/>
          <w:sz w:val="26"/>
          <w:szCs w:val="26"/>
        </w:rPr>
        <w:t>5</w:t>
      </w:r>
      <w:r w:rsidR="00436987" w:rsidRPr="00B83CD6">
        <w:rPr>
          <w:rFonts w:ascii="Times New Roman" w:hAnsi="Times New Roman"/>
          <w:color w:val="000000" w:themeColor="text1"/>
          <w:sz w:val="26"/>
          <w:szCs w:val="26"/>
        </w:rPr>
        <w:t>.tabula</w:t>
      </w:r>
    </w:p>
    <w:tbl>
      <w:tblPr>
        <w:tblW w:w="5969" w:type="dxa"/>
        <w:jc w:val="center"/>
        <w:tblInd w:w="93" w:type="dxa"/>
        <w:tblLook w:val="04A0" w:firstRow="1" w:lastRow="0" w:firstColumn="1" w:lastColumn="0" w:noHBand="0" w:noVBand="1"/>
      </w:tblPr>
      <w:tblGrid>
        <w:gridCol w:w="1291"/>
        <w:gridCol w:w="1843"/>
        <w:gridCol w:w="2835"/>
      </w:tblGrid>
      <w:tr w:rsidR="00436987" w:rsidRPr="00654F1F" w:rsidTr="00B83CD6">
        <w:trPr>
          <w:trHeight w:val="526"/>
          <w:jc w:val="center"/>
        </w:trPr>
        <w:tc>
          <w:tcPr>
            <w:tcW w:w="129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Gads</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Neto apgrozījums</w:t>
            </w:r>
            <w:r w:rsidR="005A259E" w:rsidRPr="00654F1F">
              <w:rPr>
                <w:rFonts w:ascii="Times New Roman" w:eastAsia="Times New Roman" w:hAnsi="Times New Roman"/>
                <w:color w:val="000000"/>
                <w:lang w:eastAsia="lv-LV"/>
              </w:rPr>
              <w:t xml:space="preserve"> milj.</w:t>
            </w:r>
            <w:r w:rsidR="00B83CD6">
              <w:rPr>
                <w:rFonts w:ascii="Times New Roman" w:eastAsia="Times New Roman" w:hAnsi="Times New Roman"/>
                <w:color w:val="000000"/>
                <w:lang w:eastAsia="lv-LV"/>
              </w:rPr>
              <w:t xml:space="preserve"> </w:t>
            </w:r>
            <w:r w:rsidR="005A259E" w:rsidRPr="00654F1F">
              <w:rPr>
                <w:rFonts w:ascii="Times New Roman" w:eastAsia="Times New Roman" w:hAnsi="Times New Roman"/>
                <w:color w:val="000000"/>
                <w:lang w:eastAsia="lv-LV"/>
              </w:rPr>
              <w:t>latu</w:t>
            </w:r>
          </w:p>
        </w:tc>
        <w:tc>
          <w:tcPr>
            <w:tcW w:w="2835"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Pieaugums/samazinājums pret iepriekšējo gadu</w:t>
            </w:r>
          </w:p>
        </w:tc>
      </w:tr>
      <w:tr w:rsidR="00436987" w:rsidRPr="00654F1F" w:rsidTr="00B83CD6">
        <w:trPr>
          <w:trHeight w:val="309"/>
          <w:jc w:val="center"/>
        </w:trPr>
        <w:tc>
          <w:tcPr>
            <w:tcW w:w="1291"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2012</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32,62</w:t>
            </w:r>
          </w:p>
        </w:tc>
        <w:tc>
          <w:tcPr>
            <w:tcW w:w="2835"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17,5%</w:t>
            </w:r>
          </w:p>
        </w:tc>
      </w:tr>
      <w:tr w:rsidR="00436987" w:rsidRPr="00654F1F" w:rsidTr="00B83CD6">
        <w:trPr>
          <w:trHeight w:val="309"/>
          <w:jc w:val="center"/>
        </w:trPr>
        <w:tc>
          <w:tcPr>
            <w:tcW w:w="1291"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2011</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27,77</w:t>
            </w:r>
          </w:p>
        </w:tc>
        <w:tc>
          <w:tcPr>
            <w:tcW w:w="2835"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0,7%</w:t>
            </w:r>
          </w:p>
        </w:tc>
      </w:tr>
      <w:tr w:rsidR="00436987" w:rsidRPr="00654F1F" w:rsidTr="00B83CD6">
        <w:trPr>
          <w:trHeight w:val="309"/>
          <w:jc w:val="center"/>
        </w:trPr>
        <w:tc>
          <w:tcPr>
            <w:tcW w:w="1291"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2010</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27,57</w:t>
            </w:r>
          </w:p>
        </w:tc>
        <w:tc>
          <w:tcPr>
            <w:tcW w:w="2835"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-11,0%</w:t>
            </w:r>
          </w:p>
        </w:tc>
      </w:tr>
      <w:tr w:rsidR="00436987" w:rsidRPr="00654F1F" w:rsidTr="00B83CD6">
        <w:trPr>
          <w:trHeight w:val="294"/>
          <w:jc w:val="center"/>
        </w:trPr>
        <w:tc>
          <w:tcPr>
            <w:tcW w:w="1291"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2009</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30,97</w:t>
            </w:r>
          </w:p>
        </w:tc>
        <w:tc>
          <w:tcPr>
            <w:tcW w:w="2835" w:type="dxa"/>
            <w:tcBorders>
              <w:top w:val="nil"/>
              <w:left w:val="nil"/>
              <w:bottom w:val="single" w:sz="4" w:space="0" w:color="auto"/>
              <w:right w:val="single" w:sz="4" w:space="0" w:color="auto"/>
            </w:tcBorders>
            <w:shd w:val="clear" w:color="auto" w:fill="DBE5F1" w:themeFill="accent1" w:themeFillTint="33"/>
            <w:noWrap/>
            <w:vAlign w:val="bottom"/>
            <w:hideMark/>
          </w:tcPr>
          <w:p w:rsidR="00436987" w:rsidRPr="00436987" w:rsidRDefault="00436987" w:rsidP="00436987">
            <w:pPr>
              <w:spacing w:after="0" w:line="240" w:lineRule="auto"/>
              <w:jc w:val="center"/>
              <w:rPr>
                <w:rFonts w:ascii="Times New Roman" w:eastAsia="Times New Roman" w:hAnsi="Times New Roman"/>
                <w:color w:val="000000"/>
                <w:lang w:eastAsia="lv-LV"/>
              </w:rPr>
            </w:pPr>
            <w:r w:rsidRPr="00436987">
              <w:rPr>
                <w:rFonts w:ascii="Times New Roman" w:eastAsia="Times New Roman" w:hAnsi="Times New Roman"/>
                <w:color w:val="000000"/>
                <w:lang w:eastAsia="lv-LV"/>
              </w:rPr>
              <w:t>-</w:t>
            </w:r>
          </w:p>
        </w:tc>
      </w:tr>
    </w:tbl>
    <w:p w:rsidR="00436987" w:rsidRPr="00654F1F" w:rsidRDefault="00436987" w:rsidP="00654F1F">
      <w:pPr>
        <w:spacing w:after="0" w:line="240" w:lineRule="auto"/>
        <w:ind w:firstLine="720"/>
        <w:rPr>
          <w:rFonts w:ascii="Times New Roman" w:hAnsi="Times New Roman"/>
        </w:rPr>
      </w:pPr>
    </w:p>
    <w:p w:rsidR="005A259E" w:rsidRPr="00B83CD6" w:rsidRDefault="00DE4851" w:rsidP="00B83CD6">
      <w:pPr>
        <w:spacing w:after="0" w:line="240" w:lineRule="auto"/>
        <w:ind w:firstLine="720"/>
        <w:jc w:val="both"/>
        <w:rPr>
          <w:rFonts w:ascii="Times New Roman" w:hAnsi="Times New Roman"/>
          <w:sz w:val="26"/>
          <w:szCs w:val="26"/>
        </w:rPr>
      </w:pPr>
      <w:r w:rsidRPr="00B83CD6">
        <w:rPr>
          <w:rFonts w:ascii="Times New Roman" w:hAnsi="Times New Roman"/>
          <w:sz w:val="26"/>
          <w:szCs w:val="26"/>
        </w:rPr>
        <w:t>Peļņas un zaudējuma aprēķins uzrāda, ka</w:t>
      </w:r>
      <w:r w:rsidR="00B02072" w:rsidRPr="00B83CD6">
        <w:rPr>
          <w:rFonts w:ascii="Times New Roman" w:hAnsi="Times New Roman"/>
          <w:sz w:val="26"/>
          <w:szCs w:val="26"/>
        </w:rPr>
        <w:t xml:space="preserve"> zaudējumu summa no 2010.gada samazinās, savukārt peļņai nav noteikta tendence</w:t>
      </w:r>
      <w:r w:rsidR="00654F1F" w:rsidRPr="00B83CD6">
        <w:rPr>
          <w:rFonts w:ascii="Times New Roman" w:hAnsi="Times New Roman"/>
          <w:sz w:val="26"/>
          <w:szCs w:val="26"/>
        </w:rPr>
        <w:t xml:space="preserve"> pakāpeniski palielināties vai samazināties pārskata gados</w:t>
      </w:r>
      <w:r w:rsidR="00B02072" w:rsidRPr="00B83CD6">
        <w:rPr>
          <w:rFonts w:ascii="Times New Roman" w:hAnsi="Times New Roman"/>
          <w:sz w:val="26"/>
          <w:szCs w:val="26"/>
        </w:rPr>
        <w:t xml:space="preserve">, kopējos nozares </w:t>
      </w:r>
      <w:r w:rsidR="00B83BAC" w:rsidRPr="00B83CD6">
        <w:rPr>
          <w:rFonts w:ascii="Times New Roman" w:hAnsi="Times New Roman"/>
          <w:sz w:val="26"/>
          <w:szCs w:val="26"/>
        </w:rPr>
        <w:t xml:space="preserve">peļņas  un zaudējumu </w:t>
      </w:r>
      <w:r w:rsidR="00B02072" w:rsidRPr="00B83CD6">
        <w:rPr>
          <w:rFonts w:ascii="Times New Roman" w:hAnsi="Times New Roman"/>
          <w:sz w:val="26"/>
          <w:szCs w:val="26"/>
        </w:rPr>
        <w:t>rādītājus</w:t>
      </w:r>
      <w:r w:rsidR="00B83CD6">
        <w:rPr>
          <w:rFonts w:ascii="Times New Roman" w:hAnsi="Times New Roman"/>
          <w:sz w:val="26"/>
          <w:szCs w:val="26"/>
        </w:rPr>
        <w:t xml:space="preserve"> skatīt </w:t>
      </w:r>
      <w:r w:rsidR="00B83CD6" w:rsidRPr="00B83CD6">
        <w:rPr>
          <w:rFonts w:ascii="Times New Roman" w:hAnsi="Times New Roman"/>
          <w:i/>
          <w:sz w:val="26"/>
          <w:szCs w:val="26"/>
        </w:rPr>
        <w:t>6</w:t>
      </w:r>
      <w:r w:rsidR="00B83BAC" w:rsidRPr="00B83CD6">
        <w:rPr>
          <w:rFonts w:ascii="Times New Roman" w:hAnsi="Times New Roman"/>
          <w:i/>
          <w:sz w:val="26"/>
          <w:szCs w:val="26"/>
        </w:rPr>
        <w:t>.tabulā</w:t>
      </w:r>
      <w:r w:rsidR="00E513CD" w:rsidRPr="00B83CD6">
        <w:rPr>
          <w:rFonts w:ascii="Times New Roman" w:hAnsi="Times New Roman"/>
          <w:sz w:val="26"/>
          <w:szCs w:val="26"/>
        </w:rPr>
        <w:t xml:space="preserve">. </w:t>
      </w:r>
      <w:r w:rsidR="00654F1F" w:rsidRPr="00B83CD6">
        <w:rPr>
          <w:rFonts w:ascii="Times New Roman" w:hAnsi="Times New Roman"/>
          <w:sz w:val="26"/>
          <w:szCs w:val="26"/>
        </w:rPr>
        <w:t xml:space="preserve">Jāatzīmē, ka </w:t>
      </w:r>
      <w:r w:rsidR="00E513CD" w:rsidRPr="00B83CD6">
        <w:rPr>
          <w:rFonts w:ascii="Times New Roman" w:hAnsi="Times New Roman"/>
          <w:sz w:val="26"/>
          <w:szCs w:val="26"/>
        </w:rPr>
        <w:t>2012.gadu ar peļņu noslēdza 67,9 % no uzņēmumu gada pārskatu iesniedzējiem</w:t>
      </w:r>
      <w:r w:rsidR="00B83CD6">
        <w:rPr>
          <w:rFonts w:ascii="Times New Roman" w:hAnsi="Times New Roman"/>
          <w:sz w:val="26"/>
          <w:szCs w:val="26"/>
        </w:rPr>
        <w:t>.</w:t>
      </w:r>
    </w:p>
    <w:p w:rsidR="00B83BAC" w:rsidRPr="00B83CD6" w:rsidRDefault="00B83CD6" w:rsidP="00B83CD6">
      <w:pPr>
        <w:spacing w:after="0" w:line="240" w:lineRule="auto"/>
        <w:ind w:firstLine="720"/>
        <w:jc w:val="right"/>
        <w:rPr>
          <w:rFonts w:ascii="Times New Roman" w:hAnsi="Times New Roman"/>
          <w:sz w:val="26"/>
          <w:szCs w:val="26"/>
        </w:rPr>
      </w:pPr>
      <w:r>
        <w:rPr>
          <w:rFonts w:ascii="Times New Roman" w:hAnsi="Times New Roman"/>
          <w:sz w:val="26"/>
          <w:szCs w:val="26"/>
        </w:rPr>
        <w:t>6</w:t>
      </w:r>
      <w:r w:rsidR="00B83BAC" w:rsidRPr="00B83CD6">
        <w:rPr>
          <w:rFonts w:ascii="Times New Roman" w:hAnsi="Times New Roman"/>
          <w:sz w:val="26"/>
          <w:szCs w:val="26"/>
        </w:rPr>
        <w:t>.tabula</w:t>
      </w:r>
    </w:p>
    <w:tbl>
      <w:tblPr>
        <w:tblW w:w="7455" w:type="dxa"/>
        <w:jc w:val="center"/>
        <w:tblInd w:w="93" w:type="dxa"/>
        <w:tblLook w:val="04A0" w:firstRow="1" w:lastRow="0" w:firstColumn="1" w:lastColumn="0" w:noHBand="0" w:noVBand="1"/>
      </w:tblPr>
      <w:tblGrid>
        <w:gridCol w:w="2580"/>
        <w:gridCol w:w="1300"/>
        <w:gridCol w:w="1200"/>
        <w:gridCol w:w="1260"/>
        <w:gridCol w:w="1115"/>
      </w:tblGrid>
      <w:tr w:rsidR="00B83BAC" w:rsidRPr="00B83BAC" w:rsidTr="00B83CD6">
        <w:trPr>
          <w:trHeight w:val="255"/>
          <w:jc w:val="center"/>
        </w:trPr>
        <w:tc>
          <w:tcPr>
            <w:tcW w:w="258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rPr>
                <w:rFonts w:ascii="Times New Roman" w:eastAsia="Times New Roman" w:hAnsi="Times New Roman"/>
                <w:color w:val="000000"/>
                <w:lang w:eastAsia="lv-LV"/>
              </w:rPr>
            </w:pPr>
            <w:r w:rsidRPr="00B83BAC">
              <w:rPr>
                <w:rFonts w:ascii="Times New Roman" w:eastAsia="Times New Roman" w:hAnsi="Times New Roman"/>
                <w:color w:val="000000"/>
                <w:lang w:eastAsia="lv-LV"/>
              </w:rPr>
              <w:t> </w:t>
            </w:r>
          </w:p>
        </w:tc>
        <w:tc>
          <w:tcPr>
            <w:tcW w:w="13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2009.gads</w:t>
            </w:r>
          </w:p>
        </w:tc>
        <w:tc>
          <w:tcPr>
            <w:tcW w:w="12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2010.gads</w:t>
            </w:r>
          </w:p>
        </w:tc>
        <w:tc>
          <w:tcPr>
            <w:tcW w:w="126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2011.gada</w:t>
            </w:r>
          </w:p>
        </w:tc>
        <w:tc>
          <w:tcPr>
            <w:tcW w:w="1115"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2012.gads</w:t>
            </w:r>
          </w:p>
        </w:tc>
      </w:tr>
      <w:tr w:rsidR="00B83BAC" w:rsidRPr="00B83BAC" w:rsidTr="00B83CD6">
        <w:trPr>
          <w:trHeight w:val="255"/>
          <w:jc w:val="center"/>
        </w:trPr>
        <w:tc>
          <w:tcPr>
            <w:tcW w:w="2580"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rPr>
                <w:rFonts w:ascii="Times New Roman" w:eastAsia="Times New Roman" w:hAnsi="Times New Roman"/>
                <w:color w:val="000000"/>
                <w:lang w:eastAsia="lv-LV"/>
              </w:rPr>
            </w:pPr>
            <w:r w:rsidRPr="00B83BAC">
              <w:rPr>
                <w:rFonts w:ascii="Times New Roman" w:eastAsia="Times New Roman" w:hAnsi="Times New Roman"/>
                <w:color w:val="000000"/>
                <w:lang w:eastAsia="lv-LV"/>
              </w:rPr>
              <w:t>Peļņa</w:t>
            </w:r>
          </w:p>
        </w:tc>
        <w:tc>
          <w:tcPr>
            <w:tcW w:w="1300"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3,78</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2,56</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2,26</w:t>
            </w:r>
          </w:p>
        </w:tc>
        <w:tc>
          <w:tcPr>
            <w:tcW w:w="1115"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3,30</w:t>
            </w:r>
          </w:p>
        </w:tc>
      </w:tr>
      <w:tr w:rsidR="00B83BAC" w:rsidRPr="00B83BAC" w:rsidTr="00B83CD6">
        <w:trPr>
          <w:trHeight w:val="255"/>
          <w:jc w:val="center"/>
        </w:trPr>
        <w:tc>
          <w:tcPr>
            <w:tcW w:w="2580"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B83BAC" w:rsidRPr="00B83BAC" w:rsidRDefault="00B83BAC" w:rsidP="00B83BAC">
            <w:pPr>
              <w:spacing w:after="0" w:line="240" w:lineRule="auto"/>
              <w:rPr>
                <w:rFonts w:ascii="Times New Roman" w:eastAsia="Times New Roman" w:hAnsi="Times New Roman"/>
                <w:color w:val="000000"/>
                <w:lang w:eastAsia="lv-LV"/>
              </w:rPr>
            </w:pPr>
            <w:r w:rsidRPr="00B83BAC">
              <w:rPr>
                <w:rFonts w:ascii="Times New Roman" w:eastAsia="Times New Roman" w:hAnsi="Times New Roman"/>
                <w:color w:val="000000"/>
                <w:lang w:eastAsia="lv-LV"/>
              </w:rPr>
              <w:t>Zaudējumi</w:t>
            </w:r>
          </w:p>
        </w:tc>
        <w:tc>
          <w:tcPr>
            <w:tcW w:w="1300"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0,64</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1,03</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0,63</w:t>
            </w:r>
          </w:p>
        </w:tc>
        <w:tc>
          <w:tcPr>
            <w:tcW w:w="1115" w:type="dxa"/>
            <w:tcBorders>
              <w:top w:val="nil"/>
              <w:left w:val="nil"/>
              <w:bottom w:val="single" w:sz="4" w:space="0" w:color="auto"/>
              <w:right w:val="single" w:sz="4" w:space="0" w:color="auto"/>
            </w:tcBorders>
            <w:shd w:val="clear" w:color="auto" w:fill="DBE5F1" w:themeFill="accent1" w:themeFillTint="33"/>
            <w:noWrap/>
            <w:vAlign w:val="bottom"/>
            <w:hideMark/>
          </w:tcPr>
          <w:p w:rsidR="00B83BAC" w:rsidRPr="00B83BAC" w:rsidRDefault="00B83BAC" w:rsidP="00B83BAC">
            <w:pPr>
              <w:spacing w:after="0" w:line="240" w:lineRule="auto"/>
              <w:jc w:val="center"/>
              <w:rPr>
                <w:rFonts w:ascii="Times New Roman" w:eastAsia="Times New Roman" w:hAnsi="Times New Roman"/>
                <w:color w:val="000000"/>
                <w:lang w:eastAsia="lv-LV"/>
              </w:rPr>
            </w:pPr>
            <w:r w:rsidRPr="00B83BAC">
              <w:rPr>
                <w:rFonts w:ascii="Times New Roman" w:eastAsia="Times New Roman" w:hAnsi="Times New Roman"/>
                <w:color w:val="000000"/>
                <w:lang w:eastAsia="lv-LV"/>
              </w:rPr>
              <w:t>0,52</w:t>
            </w:r>
          </w:p>
        </w:tc>
      </w:tr>
    </w:tbl>
    <w:p w:rsidR="00654F1F" w:rsidRDefault="00654F1F" w:rsidP="00E513CD">
      <w:pPr>
        <w:tabs>
          <w:tab w:val="left" w:pos="360"/>
          <w:tab w:val="left" w:pos="1080"/>
        </w:tabs>
        <w:spacing w:after="0" w:line="240" w:lineRule="auto"/>
        <w:ind w:firstLine="720"/>
        <w:jc w:val="both"/>
        <w:rPr>
          <w:rFonts w:ascii="Times New Roman" w:hAnsi="Times New Roman"/>
        </w:rPr>
      </w:pPr>
    </w:p>
    <w:p w:rsidR="00B83CD6" w:rsidRDefault="00B83CD6">
      <w:pPr>
        <w:spacing w:after="0" w:line="240" w:lineRule="auto"/>
        <w:rPr>
          <w:rFonts w:ascii="Times New Roman" w:hAnsi="Times New Roman"/>
          <w:sz w:val="26"/>
          <w:szCs w:val="26"/>
        </w:rPr>
      </w:pPr>
      <w:r>
        <w:rPr>
          <w:rFonts w:ascii="Times New Roman" w:hAnsi="Times New Roman"/>
          <w:sz w:val="26"/>
          <w:szCs w:val="26"/>
        </w:rPr>
        <w:br w:type="page"/>
      </w:r>
    </w:p>
    <w:p w:rsidR="00E513CD" w:rsidRPr="00B83CD6" w:rsidRDefault="00E513CD" w:rsidP="00E513CD">
      <w:pPr>
        <w:tabs>
          <w:tab w:val="left" w:pos="360"/>
          <w:tab w:val="left" w:pos="1080"/>
        </w:tabs>
        <w:spacing w:after="0" w:line="240" w:lineRule="auto"/>
        <w:ind w:firstLine="720"/>
        <w:jc w:val="both"/>
        <w:rPr>
          <w:rFonts w:ascii="Times New Roman" w:hAnsi="Times New Roman"/>
          <w:i/>
          <w:sz w:val="26"/>
          <w:szCs w:val="26"/>
        </w:rPr>
      </w:pPr>
      <w:r w:rsidRPr="00B83CD6">
        <w:rPr>
          <w:rFonts w:ascii="Times New Roman" w:hAnsi="Times New Roman"/>
          <w:sz w:val="26"/>
          <w:szCs w:val="26"/>
        </w:rPr>
        <w:lastRenderedPageBreak/>
        <w:t>2012.gadu ar zaudējumiem noslēdza 127 nodokļu maksātāji jeb 30,4 % no uzņēmumu gada pārskatu iesniedzējiem, no tiem 11 nodokļu maksātāji deklarēja nepārtrauktus zaudējumus, sākot ar</w:t>
      </w:r>
      <w:r w:rsidR="00B83CD6" w:rsidRPr="00B83CD6">
        <w:rPr>
          <w:rFonts w:ascii="Times New Roman" w:hAnsi="Times New Roman"/>
          <w:sz w:val="26"/>
          <w:szCs w:val="26"/>
        </w:rPr>
        <w:t xml:space="preserve"> 2008. taksācijas gadu </w:t>
      </w:r>
      <w:r w:rsidR="00B83CD6" w:rsidRPr="00B83CD6">
        <w:rPr>
          <w:rFonts w:ascii="Times New Roman" w:hAnsi="Times New Roman"/>
          <w:i/>
          <w:sz w:val="26"/>
          <w:szCs w:val="26"/>
        </w:rPr>
        <w:t>(skatīt 7</w:t>
      </w:r>
      <w:r w:rsidRPr="00B83CD6">
        <w:rPr>
          <w:rFonts w:ascii="Times New Roman" w:hAnsi="Times New Roman"/>
          <w:i/>
          <w:sz w:val="26"/>
          <w:szCs w:val="26"/>
        </w:rPr>
        <w:t>.tabulu).</w:t>
      </w:r>
    </w:p>
    <w:p w:rsidR="00B83CD6" w:rsidRPr="00B83CD6" w:rsidRDefault="00B83CD6" w:rsidP="00B83CD6">
      <w:pPr>
        <w:spacing w:after="0" w:line="240" w:lineRule="auto"/>
        <w:ind w:firstLine="720"/>
        <w:jc w:val="right"/>
        <w:rPr>
          <w:rFonts w:ascii="Times New Roman" w:hAnsi="Times New Roman"/>
          <w:color w:val="000000" w:themeColor="text1"/>
          <w:sz w:val="26"/>
          <w:szCs w:val="26"/>
        </w:rPr>
      </w:pPr>
      <w:r w:rsidRPr="00B83CD6">
        <w:rPr>
          <w:rFonts w:ascii="Times New Roman" w:hAnsi="Times New Roman"/>
          <w:color w:val="000000" w:themeColor="text1"/>
          <w:sz w:val="26"/>
          <w:szCs w:val="26"/>
        </w:rPr>
        <w:t>7.tabula</w:t>
      </w:r>
    </w:p>
    <w:p w:rsidR="00E513CD" w:rsidRPr="00B83CD6" w:rsidRDefault="00E513CD" w:rsidP="00E513CD">
      <w:pPr>
        <w:tabs>
          <w:tab w:val="left" w:pos="360"/>
          <w:tab w:val="left" w:pos="1080"/>
        </w:tabs>
        <w:spacing w:after="0" w:line="240" w:lineRule="auto"/>
        <w:jc w:val="center"/>
        <w:rPr>
          <w:rFonts w:ascii="Times New Roman" w:hAnsi="Times New Roman"/>
          <w:b/>
          <w:sz w:val="26"/>
          <w:szCs w:val="26"/>
        </w:rPr>
      </w:pPr>
      <w:r w:rsidRPr="00B83CD6">
        <w:rPr>
          <w:rFonts w:ascii="Times New Roman" w:hAnsi="Times New Roman"/>
          <w:b/>
          <w:sz w:val="26"/>
          <w:szCs w:val="26"/>
        </w:rPr>
        <w:t>Nodokļu maksātāju, kas 2012.gadu noslēdza ar zaudējumiem, nepārtraukto zaudējumu perioda ilgums</w:t>
      </w:r>
    </w:p>
    <w:p w:rsidR="00E513CD" w:rsidRPr="00654F1F" w:rsidRDefault="00E513CD" w:rsidP="00E513CD">
      <w:pPr>
        <w:tabs>
          <w:tab w:val="left" w:pos="360"/>
          <w:tab w:val="left" w:pos="1080"/>
        </w:tabs>
        <w:spacing w:after="0" w:line="240" w:lineRule="auto"/>
        <w:jc w:val="center"/>
        <w:rPr>
          <w:rFonts w:ascii="Times New Roman" w:hAnsi="Times New Roman"/>
          <w:b/>
        </w:rPr>
      </w:pPr>
    </w:p>
    <w:tbl>
      <w:tblPr>
        <w:tblW w:w="917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45"/>
        <w:gridCol w:w="1725"/>
      </w:tblGrid>
      <w:tr w:rsidR="00E513CD" w:rsidRPr="00654F1F" w:rsidTr="00C43315">
        <w:trPr>
          <w:trHeight w:val="752"/>
        </w:trPr>
        <w:tc>
          <w:tcPr>
            <w:tcW w:w="7445" w:type="dxa"/>
            <w:tcBorders>
              <w:top w:val="single" w:sz="8" w:space="0" w:color="FFFFFF"/>
              <w:left w:val="single" w:sz="8" w:space="0" w:color="FFFFFF"/>
              <w:bottom w:val="single" w:sz="24" w:space="0" w:color="FFFFFF"/>
              <w:right w:val="single" w:sz="8" w:space="0" w:color="FFFFFF"/>
            </w:tcBorders>
            <w:shd w:val="clear" w:color="auto" w:fill="95B3D7"/>
            <w:noWrap/>
            <w:vAlign w:val="center"/>
            <w:hideMark/>
          </w:tcPr>
          <w:p w:rsidR="00E513CD" w:rsidRPr="00654F1F" w:rsidRDefault="00E513CD" w:rsidP="00C43315">
            <w:pPr>
              <w:spacing w:after="0" w:line="240" w:lineRule="auto"/>
              <w:jc w:val="center"/>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Nepārtraukto zaudējumu periods</w:t>
            </w:r>
          </w:p>
        </w:tc>
        <w:tc>
          <w:tcPr>
            <w:tcW w:w="1725" w:type="dxa"/>
            <w:tcBorders>
              <w:top w:val="single" w:sz="8" w:space="0" w:color="FFFFFF"/>
              <w:left w:val="single" w:sz="8" w:space="0" w:color="FFFFFF"/>
              <w:bottom w:val="single" w:sz="24" w:space="0" w:color="FFFFFF"/>
              <w:right w:val="single" w:sz="8" w:space="0" w:color="FFFFFF"/>
            </w:tcBorders>
            <w:shd w:val="clear" w:color="auto" w:fill="95B3D7"/>
            <w:noWrap/>
            <w:vAlign w:val="center"/>
            <w:hideMark/>
          </w:tcPr>
          <w:p w:rsidR="00E513CD" w:rsidRPr="00654F1F" w:rsidRDefault="00E513CD" w:rsidP="00C43315">
            <w:pPr>
              <w:spacing w:after="0" w:line="240" w:lineRule="auto"/>
              <w:jc w:val="center"/>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Nodokļu maksātāju skaits</w:t>
            </w:r>
          </w:p>
        </w:tc>
      </w:tr>
      <w:tr w:rsidR="00E513CD" w:rsidRPr="00654F1F" w:rsidTr="00C43315">
        <w:trPr>
          <w:trHeight w:val="312"/>
        </w:trPr>
        <w:tc>
          <w:tcPr>
            <w:tcW w:w="7445" w:type="dxa"/>
            <w:tcBorders>
              <w:top w:val="single" w:sz="8" w:space="0" w:color="FFFFFF"/>
              <w:left w:val="single" w:sz="8" w:space="0" w:color="FFFFFF"/>
              <w:right w:val="single" w:sz="24" w:space="0" w:color="FFFFFF"/>
            </w:tcBorders>
            <w:shd w:val="clear" w:color="auto" w:fill="95B3D7"/>
            <w:noWrap/>
            <w:vAlign w:val="center"/>
            <w:hideMark/>
          </w:tcPr>
          <w:p w:rsidR="00E513CD" w:rsidRPr="00654F1F" w:rsidRDefault="00E513CD"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Uzņēmumi, kuri 2012.gadu noslēdza ar zaudējumiem, kopā, t.sk.</w:t>
            </w:r>
          </w:p>
        </w:tc>
        <w:tc>
          <w:tcPr>
            <w:tcW w:w="1725"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E513CD" w:rsidRPr="00654F1F" w:rsidRDefault="00E513CD"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127</w:t>
            </w:r>
          </w:p>
        </w:tc>
      </w:tr>
      <w:tr w:rsidR="00E513CD" w:rsidRPr="00654F1F" w:rsidTr="00C43315">
        <w:trPr>
          <w:trHeight w:val="312"/>
        </w:trPr>
        <w:tc>
          <w:tcPr>
            <w:tcW w:w="7445" w:type="dxa"/>
            <w:tcBorders>
              <w:left w:val="single" w:sz="8" w:space="0" w:color="FFFFFF"/>
              <w:right w:val="single" w:sz="24" w:space="0" w:color="FFFFFF"/>
            </w:tcBorders>
            <w:shd w:val="clear" w:color="auto" w:fill="95B3D7"/>
            <w:noWrap/>
            <w:hideMark/>
          </w:tcPr>
          <w:p w:rsidR="00E513CD" w:rsidRPr="00654F1F" w:rsidRDefault="00E513CD"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 uzņēmumi, kuri deklarēja nepārtrauktus zaudējumus 2008.–2012.gadā</w:t>
            </w:r>
          </w:p>
        </w:tc>
        <w:tc>
          <w:tcPr>
            <w:tcW w:w="1725" w:type="dxa"/>
            <w:shd w:val="clear" w:color="auto" w:fill="DBE5F1"/>
            <w:noWrap/>
            <w:vAlign w:val="center"/>
          </w:tcPr>
          <w:p w:rsidR="00E513CD" w:rsidRPr="00654F1F" w:rsidRDefault="00E513CD"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11</w:t>
            </w:r>
          </w:p>
        </w:tc>
      </w:tr>
      <w:tr w:rsidR="00E513CD" w:rsidRPr="00654F1F" w:rsidTr="00C43315">
        <w:trPr>
          <w:trHeight w:val="312"/>
        </w:trPr>
        <w:tc>
          <w:tcPr>
            <w:tcW w:w="7445" w:type="dxa"/>
            <w:tcBorders>
              <w:top w:val="single" w:sz="8" w:space="0" w:color="FFFFFF"/>
              <w:left w:val="single" w:sz="8" w:space="0" w:color="FFFFFF"/>
              <w:right w:val="single" w:sz="24" w:space="0" w:color="FFFFFF"/>
            </w:tcBorders>
            <w:shd w:val="clear" w:color="auto" w:fill="95B3D7"/>
            <w:noWrap/>
            <w:hideMark/>
          </w:tcPr>
          <w:p w:rsidR="00E513CD" w:rsidRPr="00654F1F" w:rsidRDefault="00E513CD"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 uzņēmumi, kuri deklarēja nepārtrauktus zaudējumus 2009.–2012.gadā</w:t>
            </w:r>
          </w:p>
        </w:tc>
        <w:tc>
          <w:tcPr>
            <w:tcW w:w="1725"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E513CD" w:rsidRPr="00654F1F" w:rsidRDefault="00E513CD"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13</w:t>
            </w:r>
          </w:p>
        </w:tc>
      </w:tr>
      <w:tr w:rsidR="00E513CD" w:rsidRPr="00654F1F" w:rsidTr="00C43315">
        <w:trPr>
          <w:trHeight w:val="312"/>
        </w:trPr>
        <w:tc>
          <w:tcPr>
            <w:tcW w:w="7445" w:type="dxa"/>
            <w:tcBorders>
              <w:left w:val="single" w:sz="8" w:space="0" w:color="FFFFFF"/>
              <w:right w:val="single" w:sz="24" w:space="0" w:color="FFFFFF"/>
            </w:tcBorders>
            <w:shd w:val="clear" w:color="auto" w:fill="95B3D7"/>
            <w:noWrap/>
            <w:hideMark/>
          </w:tcPr>
          <w:p w:rsidR="00E513CD" w:rsidRPr="00654F1F" w:rsidRDefault="00E513CD"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 uzņēmumi, kuri deklarēja nepārtrauktus zaudējumus 2010.–2012.gadā</w:t>
            </w:r>
          </w:p>
        </w:tc>
        <w:tc>
          <w:tcPr>
            <w:tcW w:w="1725" w:type="dxa"/>
            <w:shd w:val="clear" w:color="auto" w:fill="DBE5F1"/>
            <w:noWrap/>
            <w:vAlign w:val="center"/>
          </w:tcPr>
          <w:p w:rsidR="00E513CD" w:rsidRPr="00654F1F" w:rsidRDefault="00E513CD"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20</w:t>
            </w:r>
          </w:p>
        </w:tc>
      </w:tr>
      <w:tr w:rsidR="00E513CD" w:rsidRPr="00654F1F" w:rsidTr="00C43315">
        <w:trPr>
          <w:trHeight w:val="312"/>
        </w:trPr>
        <w:tc>
          <w:tcPr>
            <w:tcW w:w="7445" w:type="dxa"/>
            <w:tcBorders>
              <w:top w:val="single" w:sz="8" w:space="0" w:color="FFFFFF"/>
              <w:left w:val="single" w:sz="8" w:space="0" w:color="FFFFFF"/>
              <w:right w:val="single" w:sz="24" w:space="0" w:color="FFFFFF"/>
            </w:tcBorders>
            <w:shd w:val="clear" w:color="auto" w:fill="95B3D7"/>
            <w:noWrap/>
            <w:hideMark/>
          </w:tcPr>
          <w:p w:rsidR="00E513CD" w:rsidRPr="00654F1F" w:rsidRDefault="00E513CD"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 uzņēmumi, kuri deklarēja zaudējumus 2011.–2012.gadā</w:t>
            </w:r>
          </w:p>
        </w:tc>
        <w:tc>
          <w:tcPr>
            <w:tcW w:w="1725"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E513CD" w:rsidRPr="00654F1F" w:rsidRDefault="00E513CD"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28</w:t>
            </w:r>
          </w:p>
        </w:tc>
      </w:tr>
      <w:tr w:rsidR="00E513CD" w:rsidRPr="00654F1F" w:rsidTr="00C43315">
        <w:trPr>
          <w:trHeight w:val="312"/>
        </w:trPr>
        <w:tc>
          <w:tcPr>
            <w:tcW w:w="7445" w:type="dxa"/>
            <w:tcBorders>
              <w:left w:val="single" w:sz="8" w:space="0" w:color="FFFFFF"/>
              <w:right w:val="single" w:sz="24" w:space="0" w:color="FFFFFF"/>
            </w:tcBorders>
            <w:shd w:val="clear" w:color="auto" w:fill="95B3D7"/>
            <w:noWrap/>
            <w:hideMark/>
          </w:tcPr>
          <w:p w:rsidR="00E513CD" w:rsidRPr="00654F1F" w:rsidRDefault="00E513CD" w:rsidP="00C43315">
            <w:pPr>
              <w:spacing w:after="0" w:line="240" w:lineRule="auto"/>
              <w:rPr>
                <w:rFonts w:ascii="Times New Roman" w:eastAsia="Times New Roman" w:hAnsi="Times New Roman"/>
                <w:b/>
                <w:bCs/>
                <w:color w:val="000000"/>
                <w:lang w:eastAsia="lv-LV"/>
              </w:rPr>
            </w:pPr>
            <w:r w:rsidRPr="00654F1F">
              <w:rPr>
                <w:rFonts w:ascii="Times New Roman" w:eastAsia="Times New Roman" w:hAnsi="Times New Roman"/>
                <w:b/>
                <w:bCs/>
                <w:color w:val="000000"/>
                <w:lang w:eastAsia="lv-LV"/>
              </w:rPr>
              <w:t>- uzņēmumi, kuri deklarēja zaudējumus tikai 2012.gadā</w:t>
            </w:r>
          </w:p>
        </w:tc>
        <w:tc>
          <w:tcPr>
            <w:tcW w:w="1725" w:type="dxa"/>
            <w:shd w:val="clear" w:color="auto" w:fill="DBE5F1"/>
            <w:noWrap/>
            <w:vAlign w:val="center"/>
          </w:tcPr>
          <w:p w:rsidR="00E513CD" w:rsidRPr="00654F1F" w:rsidRDefault="00E513CD" w:rsidP="00C43315">
            <w:pPr>
              <w:spacing w:after="0" w:line="240" w:lineRule="auto"/>
              <w:jc w:val="center"/>
              <w:rPr>
                <w:rFonts w:ascii="Times New Roman" w:eastAsia="Times New Roman" w:hAnsi="Times New Roman"/>
                <w:bCs/>
                <w:color w:val="000000"/>
                <w:lang w:eastAsia="lv-LV"/>
              </w:rPr>
            </w:pPr>
            <w:r w:rsidRPr="00654F1F">
              <w:rPr>
                <w:rFonts w:ascii="Times New Roman" w:eastAsia="Times New Roman" w:hAnsi="Times New Roman"/>
                <w:bCs/>
                <w:color w:val="000000"/>
                <w:lang w:eastAsia="lv-LV"/>
              </w:rPr>
              <w:t>55</w:t>
            </w:r>
          </w:p>
        </w:tc>
      </w:tr>
    </w:tbl>
    <w:p w:rsidR="00B83BAC" w:rsidRDefault="00B83BAC" w:rsidP="00B83BAC">
      <w:pPr>
        <w:rPr>
          <w:rFonts w:ascii="Times New Roman" w:hAnsi="Times New Roman"/>
        </w:rPr>
      </w:pPr>
    </w:p>
    <w:p w:rsidR="00654F1F" w:rsidRPr="00B83CD6" w:rsidRDefault="00654F1F" w:rsidP="00B83CD6">
      <w:pPr>
        <w:spacing w:after="0" w:line="240" w:lineRule="auto"/>
        <w:ind w:firstLine="720"/>
        <w:rPr>
          <w:rFonts w:ascii="Times New Roman" w:hAnsi="Times New Roman"/>
          <w:sz w:val="26"/>
          <w:szCs w:val="26"/>
        </w:rPr>
      </w:pPr>
      <w:r w:rsidRPr="00B83CD6">
        <w:rPr>
          <w:rFonts w:ascii="Times New Roman" w:hAnsi="Times New Roman"/>
          <w:sz w:val="26"/>
          <w:szCs w:val="26"/>
        </w:rPr>
        <w:t>Saimnieciskās darbības veicējiem, kuri ir IIN maksātāji, ir pienākums iesniegt gada ienākumu deklarāciju ar aizpildītu D3, D3</w:t>
      </w:r>
      <w:r w:rsidRPr="00B83CD6">
        <w:rPr>
          <w:rFonts w:ascii="Times New Roman" w:hAnsi="Times New Roman"/>
          <w:sz w:val="26"/>
          <w:szCs w:val="26"/>
          <w:vertAlign w:val="superscript"/>
        </w:rPr>
        <w:t>1</w:t>
      </w:r>
      <w:r w:rsidRPr="00B83CD6">
        <w:rPr>
          <w:rFonts w:ascii="Times New Roman" w:hAnsi="Times New Roman"/>
          <w:sz w:val="26"/>
          <w:szCs w:val="26"/>
        </w:rPr>
        <w:t xml:space="preserve"> vai D5 pielikumu</w:t>
      </w:r>
      <w:r w:rsidR="00B83CD6">
        <w:rPr>
          <w:rFonts w:ascii="Times New Roman" w:hAnsi="Times New Roman"/>
          <w:sz w:val="26"/>
          <w:szCs w:val="26"/>
        </w:rPr>
        <w:t>.</w:t>
      </w:r>
    </w:p>
    <w:p w:rsidR="00B83CD6" w:rsidRPr="00B83CD6" w:rsidRDefault="00654F1F" w:rsidP="00B83CD6">
      <w:pPr>
        <w:tabs>
          <w:tab w:val="left" w:pos="360"/>
          <w:tab w:val="left" w:pos="1080"/>
        </w:tabs>
        <w:spacing w:after="0" w:line="240" w:lineRule="auto"/>
        <w:ind w:firstLine="720"/>
        <w:jc w:val="both"/>
        <w:rPr>
          <w:rFonts w:ascii="Times New Roman" w:hAnsi="Times New Roman"/>
          <w:i/>
          <w:sz w:val="26"/>
          <w:szCs w:val="26"/>
        </w:rPr>
      </w:pPr>
      <w:r w:rsidRPr="00B83CD6">
        <w:rPr>
          <w:rFonts w:ascii="Times New Roman" w:hAnsi="Times New Roman"/>
          <w:sz w:val="26"/>
          <w:szCs w:val="26"/>
        </w:rPr>
        <w:t>Saimnieciskās darbības veicēju, kuri nodarbojas ar zobārstu praksi, ienākumu kopsummai no 2010.gada ir tendence palielināties, savukārt zaudējumu summai katru gadu samazināties</w:t>
      </w:r>
      <w:r w:rsidR="00B83CD6">
        <w:rPr>
          <w:rFonts w:ascii="Times New Roman" w:hAnsi="Times New Roman"/>
          <w:sz w:val="26"/>
          <w:szCs w:val="26"/>
        </w:rPr>
        <w:t xml:space="preserve"> </w:t>
      </w:r>
      <w:r w:rsidR="00B83CD6">
        <w:rPr>
          <w:rFonts w:ascii="Times New Roman" w:hAnsi="Times New Roman"/>
          <w:i/>
          <w:sz w:val="26"/>
          <w:szCs w:val="26"/>
        </w:rPr>
        <w:t>(skatīt 8</w:t>
      </w:r>
      <w:r w:rsidR="00B83CD6" w:rsidRPr="00B83CD6">
        <w:rPr>
          <w:rFonts w:ascii="Times New Roman" w:hAnsi="Times New Roman"/>
          <w:i/>
          <w:sz w:val="26"/>
          <w:szCs w:val="26"/>
        </w:rPr>
        <w:t>.tabulu).</w:t>
      </w:r>
    </w:p>
    <w:p w:rsidR="00654F1F" w:rsidRPr="00B83CD6" w:rsidRDefault="00B83CD6" w:rsidP="00B83CD6">
      <w:pPr>
        <w:spacing w:after="0" w:line="240" w:lineRule="auto"/>
        <w:ind w:firstLine="720"/>
        <w:jc w:val="right"/>
        <w:rPr>
          <w:rFonts w:ascii="Times New Roman" w:hAnsi="Times New Roman"/>
          <w:sz w:val="26"/>
          <w:szCs w:val="26"/>
        </w:rPr>
      </w:pPr>
      <w:r w:rsidRPr="00B83CD6">
        <w:rPr>
          <w:rFonts w:ascii="Times New Roman" w:hAnsi="Times New Roman"/>
          <w:sz w:val="26"/>
          <w:szCs w:val="26"/>
        </w:rPr>
        <w:t>8</w:t>
      </w:r>
      <w:r w:rsidR="00654F1F" w:rsidRPr="00B83CD6">
        <w:rPr>
          <w:rFonts w:ascii="Times New Roman" w:hAnsi="Times New Roman"/>
          <w:sz w:val="26"/>
          <w:szCs w:val="26"/>
        </w:rPr>
        <w:t>.tabula</w:t>
      </w:r>
    </w:p>
    <w:tbl>
      <w:tblPr>
        <w:tblW w:w="7200" w:type="dxa"/>
        <w:jc w:val="center"/>
        <w:tblInd w:w="93" w:type="dxa"/>
        <w:tblLook w:val="04A0" w:firstRow="1" w:lastRow="0" w:firstColumn="1" w:lastColumn="0" w:noHBand="0" w:noVBand="1"/>
      </w:tblPr>
      <w:tblGrid>
        <w:gridCol w:w="960"/>
        <w:gridCol w:w="3100"/>
        <w:gridCol w:w="3140"/>
      </w:tblGrid>
      <w:tr w:rsidR="00654F1F" w:rsidRPr="00654F1F" w:rsidTr="00B83CD6">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p>
        </w:tc>
        <w:tc>
          <w:tcPr>
            <w:tcW w:w="31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Ienākumi no saimnieciskās darbības</w:t>
            </w:r>
            <w:r>
              <w:rPr>
                <w:rFonts w:ascii="Times New Roman" w:eastAsia="Times New Roman" w:hAnsi="Times New Roman"/>
                <w:color w:val="000000"/>
                <w:lang w:eastAsia="lv-LV"/>
              </w:rPr>
              <w:t xml:space="preserve"> pēc D3 pielikuma</w:t>
            </w:r>
          </w:p>
        </w:tc>
        <w:tc>
          <w:tcPr>
            <w:tcW w:w="314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Zaudējumu summa</w:t>
            </w:r>
            <w:r>
              <w:rPr>
                <w:rFonts w:ascii="Times New Roman" w:eastAsia="Times New Roman" w:hAnsi="Times New Roman"/>
                <w:color w:val="000000"/>
                <w:lang w:eastAsia="lv-LV"/>
              </w:rPr>
              <w:t xml:space="preserve"> pēc D3 pielikuma</w:t>
            </w:r>
          </w:p>
        </w:tc>
      </w:tr>
      <w:tr w:rsidR="00654F1F" w:rsidRPr="00654F1F" w:rsidTr="00BE0176">
        <w:trPr>
          <w:trHeight w:val="345"/>
          <w:jc w:val="center"/>
        </w:trPr>
        <w:tc>
          <w:tcPr>
            <w:tcW w:w="96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2009</w:t>
            </w:r>
          </w:p>
        </w:tc>
        <w:tc>
          <w:tcPr>
            <w:tcW w:w="3100" w:type="dxa"/>
            <w:tcBorders>
              <w:top w:val="nil"/>
              <w:left w:val="nil"/>
              <w:bottom w:val="single" w:sz="4" w:space="0" w:color="auto"/>
              <w:right w:val="single" w:sz="4" w:space="0" w:color="auto"/>
            </w:tcBorders>
            <w:shd w:val="clear" w:color="auto" w:fill="DBE5F1" w:themeFill="accent1" w:themeFillTint="33"/>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850,65</w:t>
            </w:r>
          </w:p>
        </w:tc>
        <w:tc>
          <w:tcPr>
            <w:tcW w:w="3140" w:type="dxa"/>
            <w:tcBorders>
              <w:top w:val="nil"/>
              <w:left w:val="nil"/>
              <w:bottom w:val="single" w:sz="4" w:space="0" w:color="auto"/>
              <w:right w:val="single" w:sz="4" w:space="0" w:color="auto"/>
            </w:tcBorders>
            <w:shd w:val="clear" w:color="auto" w:fill="DBE5F1" w:themeFill="accent1" w:themeFillTint="33"/>
            <w:noWrap/>
            <w:vAlign w:val="bottom"/>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53,38</w:t>
            </w:r>
          </w:p>
        </w:tc>
      </w:tr>
      <w:tr w:rsidR="00654F1F" w:rsidRPr="00654F1F" w:rsidTr="00BE0176">
        <w:trPr>
          <w:trHeight w:val="345"/>
          <w:jc w:val="center"/>
        </w:trPr>
        <w:tc>
          <w:tcPr>
            <w:tcW w:w="96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2010</w:t>
            </w:r>
          </w:p>
        </w:tc>
        <w:tc>
          <w:tcPr>
            <w:tcW w:w="3100" w:type="dxa"/>
            <w:tcBorders>
              <w:top w:val="nil"/>
              <w:left w:val="nil"/>
              <w:bottom w:val="single" w:sz="4" w:space="0" w:color="auto"/>
              <w:right w:val="single" w:sz="4" w:space="0" w:color="auto"/>
            </w:tcBorders>
            <w:shd w:val="clear" w:color="auto" w:fill="DBE5F1" w:themeFill="accent1" w:themeFillTint="33"/>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643,12</w:t>
            </w:r>
          </w:p>
        </w:tc>
        <w:tc>
          <w:tcPr>
            <w:tcW w:w="3140" w:type="dxa"/>
            <w:tcBorders>
              <w:top w:val="nil"/>
              <w:left w:val="nil"/>
              <w:bottom w:val="single" w:sz="4" w:space="0" w:color="auto"/>
              <w:right w:val="single" w:sz="4" w:space="0" w:color="auto"/>
            </w:tcBorders>
            <w:shd w:val="clear" w:color="auto" w:fill="DBE5F1" w:themeFill="accent1" w:themeFillTint="33"/>
            <w:noWrap/>
            <w:vAlign w:val="bottom"/>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51,18</w:t>
            </w:r>
          </w:p>
        </w:tc>
      </w:tr>
      <w:tr w:rsidR="00654F1F" w:rsidRPr="00654F1F" w:rsidTr="00BE0176">
        <w:trPr>
          <w:trHeight w:val="345"/>
          <w:jc w:val="center"/>
        </w:trPr>
        <w:tc>
          <w:tcPr>
            <w:tcW w:w="96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2011</w:t>
            </w:r>
          </w:p>
        </w:tc>
        <w:tc>
          <w:tcPr>
            <w:tcW w:w="3100" w:type="dxa"/>
            <w:tcBorders>
              <w:top w:val="nil"/>
              <w:left w:val="nil"/>
              <w:bottom w:val="single" w:sz="4" w:space="0" w:color="auto"/>
              <w:right w:val="single" w:sz="4" w:space="0" w:color="auto"/>
            </w:tcBorders>
            <w:shd w:val="clear" w:color="auto" w:fill="DBE5F1" w:themeFill="accent1" w:themeFillTint="33"/>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709,59</w:t>
            </w:r>
          </w:p>
        </w:tc>
        <w:tc>
          <w:tcPr>
            <w:tcW w:w="3140" w:type="dxa"/>
            <w:tcBorders>
              <w:top w:val="nil"/>
              <w:left w:val="nil"/>
              <w:bottom w:val="single" w:sz="4" w:space="0" w:color="auto"/>
              <w:right w:val="single" w:sz="4" w:space="0" w:color="auto"/>
            </w:tcBorders>
            <w:shd w:val="clear" w:color="auto" w:fill="DBE5F1" w:themeFill="accent1" w:themeFillTint="33"/>
            <w:noWrap/>
            <w:vAlign w:val="bottom"/>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44,20</w:t>
            </w:r>
          </w:p>
        </w:tc>
      </w:tr>
      <w:tr w:rsidR="00654F1F" w:rsidRPr="00654F1F" w:rsidTr="00BE0176">
        <w:trPr>
          <w:trHeight w:val="345"/>
          <w:jc w:val="center"/>
        </w:trPr>
        <w:tc>
          <w:tcPr>
            <w:tcW w:w="96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2012</w:t>
            </w:r>
          </w:p>
        </w:tc>
        <w:tc>
          <w:tcPr>
            <w:tcW w:w="3100" w:type="dxa"/>
            <w:tcBorders>
              <w:top w:val="nil"/>
              <w:left w:val="nil"/>
              <w:bottom w:val="single" w:sz="4" w:space="0" w:color="auto"/>
              <w:right w:val="single" w:sz="4" w:space="0" w:color="auto"/>
            </w:tcBorders>
            <w:shd w:val="clear" w:color="auto" w:fill="DBE5F1" w:themeFill="accent1" w:themeFillTint="33"/>
            <w:vAlign w:val="center"/>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870,64</w:t>
            </w:r>
          </w:p>
        </w:tc>
        <w:tc>
          <w:tcPr>
            <w:tcW w:w="3140" w:type="dxa"/>
            <w:tcBorders>
              <w:top w:val="nil"/>
              <w:left w:val="nil"/>
              <w:bottom w:val="single" w:sz="4" w:space="0" w:color="auto"/>
              <w:right w:val="single" w:sz="4" w:space="0" w:color="auto"/>
            </w:tcBorders>
            <w:shd w:val="clear" w:color="auto" w:fill="DBE5F1" w:themeFill="accent1" w:themeFillTint="33"/>
            <w:noWrap/>
            <w:vAlign w:val="bottom"/>
            <w:hideMark/>
          </w:tcPr>
          <w:p w:rsidR="00654F1F" w:rsidRPr="00654F1F" w:rsidRDefault="00654F1F" w:rsidP="00654F1F">
            <w:pPr>
              <w:spacing w:after="0" w:line="240" w:lineRule="auto"/>
              <w:jc w:val="center"/>
              <w:rPr>
                <w:rFonts w:ascii="Times New Roman" w:eastAsia="Times New Roman" w:hAnsi="Times New Roman"/>
                <w:color w:val="000000"/>
                <w:lang w:eastAsia="lv-LV"/>
              </w:rPr>
            </w:pPr>
            <w:r w:rsidRPr="00654F1F">
              <w:rPr>
                <w:rFonts w:ascii="Times New Roman" w:eastAsia="Times New Roman" w:hAnsi="Times New Roman"/>
                <w:color w:val="000000"/>
                <w:lang w:eastAsia="lv-LV"/>
              </w:rPr>
              <w:t>17,34</w:t>
            </w:r>
          </w:p>
        </w:tc>
      </w:tr>
    </w:tbl>
    <w:p w:rsidR="00F14323" w:rsidRPr="00BE0176" w:rsidRDefault="00F14323" w:rsidP="00BE0176">
      <w:pPr>
        <w:spacing w:after="0" w:line="240" w:lineRule="auto"/>
        <w:ind w:firstLine="720"/>
        <w:rPr>
          <w:rFonts w:ascii="Times New Roman" w:hAnsi="Times New Roman"/>
          <w:sz w:val="26"/>
          <w:szCs w:val="26"/>
        </w:rPr>
      </w:pPr>
    </w:p>
    <w:p w:rsidR="00654F1F" w:rsidRPr="00BE0176" w:rsidRDefault="00F14323" w:rsidP="008314E5">
      <w:pPr>
        <w:spacing w:after="0" w:line="240" w:lineRule="auto"/>
        <w:ind w:firstLine="720"/>
        <w:jc w:val="both"/>
        <w:rPr>
          <w:rFonts w:ascii="Times New Roman" w:hAnsi="Times New Roman"/>
          <w:sz w:val="26"/>
          <w:szCs w:val="26"/>
          <w:vertAlign w:val="subscript"/>
        </w:rPr>
      </w:pPr>
      <w:r w:rsidRPr="00BE0176">
        <w:rPr>
          <w:rFonts w:ascii="Times New Roman" w:hAnsi="Times New Roman"/>
          <w:sz w:val="26"/>
          <w:szCs w:val="26"/>
        </w:rPr>
        <w:t>D3</w:t>
      </w:r>
      <w:r w:rsidRPr="00BE0176">
        <w:rPr>
          <w:rFonts w:ascii="Times New Roman" w:hAnsi="Times New Roman"/>
          <w:sz w:val="26"/>
          <w:szCs w:val="26"/>
          <w:vertAlign w:val="superscript"/>
        </w:rPr>
        <w:t>1</w:t>
      </w:r>
      <w:r w:rsidRPr="00BE0176">
        <w:rPr>
          <w:rFonts w:ascii="Times New Roman" w:hAnsi="Times New Roman"/>
          <w:sz w:val="26"/>
          <w:szCs w:val="26"/>
        </w:rPr>
        <w:t xml:space="preserve"> pielikumu 2009</w:t>
      </w:r>
      <w:r w:rsidR="00761A92" w:rsidRPr="00BE0176">
        <w:rPr>
          <w:rFonts w:ascii="Times New Roman" w:hAnsi="Times New Roman"/>
          <w:sz w:val="26"/>
          <w:szCs w:val="26"/>
        </w:rPr>
        <w:t>.</w:t>
      </w:r>
      <w:r w:rsidRPr="00BE0176">
        <w:rPr>
          <w:rFonts w:ascii="Times New Roman" w:hAnsi="Times New Roman"/>
          <w:sz w:val="26"/>
          <w:szCs w:val="26"/>
        </w:rPr>
        <w:t xml:space="preserve"> un 2010.gadā iesniedza 7 nodokļu maksātāji, attiecīgi par summām 757,19 tūkst. latu un 730,752 tūkst. latu, bet 2011</w:t>
      </w:r>
      <w:r w:rsidR="00761A92" w:rsidRPr="00BE0176">
        <w:rPr>
          <w:rFonts w:ascii="Times New Roman" w:hAnsi="Times New Roman"/>
          <w:sz w:val="26"/>
          <w:szCs w:val="26"/>
        </w:rPr>
        <w:t>.</w:t>
      </w:r>
      <w:r w:rsidRPr="00BE0176">
        <w:rPr>
          <w:rFonts w:ascii="Times New Roman" w:hAnsi="Times New Roman"/>
          <w:sz w:val="26"/>
          <w:szCs w:val="26"/>
        </w:rPr>
        <w:t xml:space="preserve"> un 2012.gadā tika iesniegtas 6 deklarācijas par summām 622,97 tūkst.</w:t>
      </w:r>
      <w:r w:rsidR="00761A92" w:rsidRPr="00BE0176">
        <w:rPr>
          <w:rFonts w:ascii="Times New Roman" w:hAnsi="Times New Roman"/>
          <w:sz w:val="26"/>
          <w:szCs w:val="26"/>
        </w:rPr>
        <w:t> </w:t>
      </w:r>
      <w:r w:rsidRPr="00BE0176">
        <w:rPr>
          <w:rFonts w:ascii="Times New Roman" w:hAnsi="Times New Roman"/>
          <w:sz w:val="26"/>
          <w:szCs w:val="26"/>
        </w:rPr>
        <w:t>latu un 633,10 tūkst latu</w:t>
      </w:r>
      <w:r w:rsidR="00761A92" w:rsidRPr="00BE0176">
        <w:rPr>
          <w:rFonts w:ascii="Times New Roman" w:hAnsi="Times New Roman"/>
          <w:sz w:val="26"/>
          <w:szCs w:val="26"/>
        </w:rPr>
        <w:t>.</w:t>
      </w:r>
    </w:p>
    <w:p w:rsidR="00654F1F" w:rsidRPr="00BE0176" w:rsidRDefault="00654F1F" w:rsidP="008314E5">
      <w:pPr>
        <w:spacing w:after="0" w:line="240" w:lineRule="auto"/>
        <w:ind w:firstLine="720"/>
        <w:jc w:val="both"/>
        <w:rPr>
          <w:rFonts w:ascii="Times New Roman" w:hAnsi="Times New Roman"/>
          <w:sz w:val="26"/>
          <w:szCs w:val="26"/>
        </w:rPr>
      </w:pPr>
      <w:r w:rsidRPr="00BE0176">
        <w:rPr>
          <w:rFonts w:ascii="Times New Roman" w:hAnsi="Times New Roman"/>
          <w:sz w:val="26"/>
          <w:szCs w:val="26"/>
        </w:rPr>
        <w:t>Savukārt D5 pielikums pēdējo reizi tika iesniegts 2009.gadā un to iesniedza 3 nodokļu maksātāji.</w:t>
      </w:r>
    </w:p>
    <w:p w:rsidR="00654F1F" w:rsidRDefault="00654F1F" w:rsidP="008314E5">
      <w:pPr>
        <w:spacing w:after="0" w:line="240" w:lineRule="auto"/>
        <w:ind w:firstLine="720"/>
        <w:jc w:val="both"/>
        <w:rPr>
          <w:rFonts w:ascii="Times New Roman" w:hAnsi="Times New Roman"/>
          <w:sz w:val="26"/>
          <w:szCs w:val="26"/>
        </w:rPr>
      </w:pPr>
      <w:r w:rsidRPr="00BE0176">
        <w:rPr>
          <w:rFonts w:ascii="Times New Roman" w:hAnsi="Times New Roman"/>
          <w:sz w:val="26"/>
          <w:szCs w:val="26"/>
        </w:rPr>
        <w:t>Nozares kopējās likviditātes koeficients (Likviditātes koeficients = Apgrozāmie līdzekļi/Īstermiņa kreditori) 2011.gadā bija 1,50, bet 2012.gadā tas nedaudz palielinājās līdz 1.64, kas kopumā iekļaujas likviditātes koeficienta vēlamajās robežās (“1–2”,</w:t>
      </w:r>
      <w:r w:rsidR="00A42897">
        <w:rPr>
          <w:rFonts w:ascii="Times New Roman" w:hAnsi="Times New Roman"/>
          <w:sz w:val="26"/>
          <w:szCs w:val="26"/>
        </w:rPr>
        <w:t xml:space="preserve"> atsevišķos gadījumos līdz “3”)</w:t>
      </w:r>
      <w:r w:rsidR="00A42897" w:rsidRPr="00A42897">
        <w:rPr>
          <w:rFonts w:ascii="Times New Roman" w:hAnsi="Times New Roman"/>
          <w:i/>
          <w:sz w:val="26"/>
          <w:szCs w:val="26"/>
        </w:rPr>
        <w:t xml:space="preserve"> </w:t>
      </w:r>
      <w:r w:rsidR="00A42897">
        <w:rPr>
          <w:rFonts w:ascii="Times New Roman" w:hAnsi="Times New Roman"/>
          <w:i/>
          <w:sz w:val="26"/>
          <w:szCs w:val="26"/>
        </w:rPr>
        <w:t>(skatīt 9</w:t>
      </w:r>
      <w:r w:rsidR="00A42897" w:rsidRPr="00B83CD6">
        <w:rPr>
          <w:rFonts w:ascii="Times New Roman" w:hAnsi="Times New Roman"/>
          <w:i/>
          <w:sz w:val="26"/>
          <w:szCs w:val="26"/>
        </w:rPr>
        <w:t>.tabulu).</w:t>
      </w:r>
      <w:r w:rsidRPr="00BE0176">
        <w:rPr>
          <w:rFonts w:ascii="Times New Roman" w:hAnsi="Times New Roman"/>
          <w:sz w:val="26"/>
          <w:szCs w:val="26"/>
        </w:rPr>
        <w:t xml:space="preserve"> Koeficienta lielums liecina, ka nozares uzņēmumiem kopumā nevajadzētu rasties problēmas nokārtot savas saistības </w:t>
      </w:r>
      <w:proofErr w:type="spellStart"/>
      <w:r w:rsidRPr="00BE0176">
        <w:rPr>
          <w:rFonts w:ascii="Times New Roman" w:hAnsi="Times New Roman"/>
          <w:sz w:val="26"/>
          <w:szCs w:val="26"/>
        </w:rPr>
        <w:t>īstermiņā</w:t>
      </w:r>
      <w:proofErr w:type="spellEnd"/>
      <w:r w:rsidRPr="00BE0176">
        <w:rPr>
          <w:rFonts w:ascii="Times New Roman" w:hAnsi="Times New Roman"/>
          <w:sz w:val="26"/>
          <w:szCs w:val="26"/>
        </w:rPr>
        <w:t>.</w:t>
      </w:r>
    </w:p>
    <w:p w:rsidR="00A42897" w:rsidRPr="00B83CD6" w:rsidRDefault="00A42897" w:rsidP="00A42897">
      <w:pPr>
        <w:spacing w:after="0" w:line="240" w:lineRule="auto"/>
        <w:ind w:firstLine="720"/>
        <w:jc w:val="right"/>
        <w:rPr>
          <w:rFonts w:ascii="Times New Roman" w:hAnsi="Times New Roman"/>
          <w:sz w:val="26"/>
          <w:szCs w:val="26"/>
        </w:rPr>
      </w:pPr>
      <w:r>
        <w:rPr>
          <w:rFonts w:ascii="Times New Roman" w:hAnsi="Times New Roman"/>
          <w:sz w:val="26"/>
          <w:szCs w:val="26"/>
        </w:rPr>
        <w:t>9</w:t>
      </w:r>
      <w:r w:rsidRPr="00B83CD6">
        <w:rPr>
          <w:rFonts w:ascii="Times New Roman" w:hAnsi="Times New Roman"/>
          <w:sz w:val="26"/>
          <w:szCs w:val="26"/>
        </w:rPr>
        <w:t>.tabula</w:t>
      </w:r>
    </w:p>
    <w:tbl>
      <w:tblPr>
        <w:tblW w:w="7455" w:type="dxa"/>
        <w:jc w:val="center"/>
        <w:tblInd w:w="93" w:type="dxa"/>
        <w:tblLook w:val="04A0" w:firstRow="1" w:lastRow="0" w:firstColumn="1" w:lastColumn="0" w:noHBand="0" w:noVBand="1"/>
      </w:tblPr>
      <w:tblGrid>
        <w:gridCol w:w="2580"/>
        <w:gridCol w:w="1300"/>
        <w:gridCol w:w="1200"/>
        <w:gridCol w:w="1260"/>
        <w:gridCol w:w="1115"/>
      </w:tblGrid>
      <w:tr w:rsidR="00654F1F" w:rsidRPr="00A42897" w:rsidTr="00A42897">
        <w:trPr>
          <w:trHeight w:val="255"/>
          <w:jc w:val="center"/>
        </w:trPr>
        <w:tc>
          <w:tcPr>
            <w:tcW w:w="258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654F1F" w:rsidRPr="00A42897" w:rsidRDefault="00654F1F" w:rsidP="00654F1F">
            <w:pPr>
              <w:spacing w:after="0" w:line="240" w:lineRule="auto"/>
              <w:rPr>
                <w:rFonts w:ascii="Times New Roman" w:eastAsia="Times New Roman" w:hAnsi="Times New Roman"/>
                <w:color w:val="000000"/>
                <w:lang w:eastAsia="lv-LV"/>
              </w:rPr>
            </w:pPr>
            <w:r w:rsidRPr="00A42897">
              <w:rPr>
                <w:rFonts w:ascii="Times New Roman" w:eastAsia="Times New Roman" w:hAnsi="Times New Roman"/>
                <w:color w:val="000000"/>
                <w:lang w:eastAsia="lv-LV"/>
              </w:rPr>
              <w:t> </w:t>
            </w:r>
          </w:p>
        </w:tc>
        <w:tc>
          <w:tcPr>
            <w:tcW w:w="13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654F1F" w:rsidRPr="00A42897" w:rsidRDefault="00654F1F" w:rsidP="00654F1F">
            <w:pPr>
              <w:spacing w:after="0" w:line="240" w:lineRule="auto"/>
              <w:jc w:val="center"/>
              <w:rPr>
                <w:rFonts w:ascii="Times New Roman" w:eastAsia="Times New Roman" w:hAnsi="Times New Roman"/>
                <w:color w:val="000000"/>
                <w:lang w:eastAsia="lv-LV"/>
              </w:rPr>
            </w:pPr>
            <w:r w:rsidRPr="00A42897">
              <w:rPr>
                <w:rFonts w:ascii="Times New Roman" w:eastAsia="Times New Roman" w:hAnsi="Times New Roman"/>
                <w:color w:val="000000"/>
                <w:lang w:eastAsia="lv-LV"/>
              </w:rPr>
              <w:t>2009.gads</w:t>
            </w:r>
          </w:p>
        </w:tc>
        <w:tc>
          <w:tcPr>
            <w:tcW w:w="120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654F1F" w:rsidRPr="00A42897" w:rsidRDefault="00654F1F" w:rsidP="00654F1F">
            <w:pPr>
              <w:spacing w:after="0" w:line="240" w:lineRule="auto"/>
              <w:jc w:val="center"/>
              <w:rPr>
                <w:rFonts w:ascii="Times New Roman" w:eastAsia="Times New Roman" w:hAnsi="Times New Roman"/>
                <w:color w:val="000000"/>
                <w:lang w:eastAsia="lv-LV"/>
              </w:rPr>
            </w:pPr>
            <w:r w:rsidRPr="00A42897">
              <w:rPr>
                <w:rFonts w:ascii="Times New Roman" w:eastAsia="Times New Roman" w:hAnsi="Times New Roman"/>
                <w:color w:val="000000"/>
                <w:lang w:eastAsia="lv-LV"/>
              </w:rPr>
              <w:t>2010.gads</w:t>
            </w:r>
          </w:p>
        </w:tc>
        <w:tc>
          <w:tcPr>
            <w:tcW w:w="126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654F1F" w:rsidRPr="00A42897" w:rsidRDefault="00654F1F" w:rsidP="00654F1F">
            <w:pPr>
              <w:spacing w:after="0" w:line="240" w:lineRule="auto"/>
              <w:jc w:val="center"/>
              <w:rPr>
                <w:rFonts w:ascii="Times New Roman" w:eastAsia="Times New Roman" w:hAnsi="Times New Roman"/>
                <w:color w:val="000000"/>
                <w:lang w:eastAsia="lv-LV"/>
              </w:rPr>
            </w:pPr>
            <w:r w:rsidRPr="00A42897">
              <w:rPr>
                <w:rFonts w:ascii="Times New Roman" w:eastAsia="Times New Roman" w:hAnsi="Times New Roman"/>
                <w:color w:val="000000"/>
                <w:lang w:eastAsia="lv-LV"/>
              </w:rPr>
              <w:t>2011.gada</w:t>
            </w:r>
          </w:p>
        </w:tc>
        <w:tc>
          <w:tcPr>
            <w:tcW w:w="1115"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654F1F" w:rsidRPr="00A42897" w:rsidRDefault="00654F1F" w:rsidP="00654F1F">
            <w:pPr>
              <w:spacing w:after="0" w:line="240" w:lineRule="auto"/>
              <w:jc w:val="center"/>
              <w:rPr>
                <w:rFonts w:ascii="Times New Roman" w:eastAsia="Times New Roman" w:hAnsi="Times New Roman"/>
                <w:color w:val="000000"/>
                <w:lang w:eastAsia="lv-LV"/>
              </w:rPr>
            </w:pPr>
            <w:r w:rsidRPr="00A42897">
              <w:rPr>
                <w:rFonts w:ascii="Times New Roman" w:eastAsia="Times New Roman" w:hAnsi="Times New Roman"/>
                <w:color w:val="000000"/>
                <w:lang w:eastAsia="lv-LV"/>
              </w:rPr>
              <w:t>2012.gads</w:t>
            </w:r>
          </w:p>
        </w:tc>
      </w:tr>
      <w:tr w:rsidR="00654F1F" w:rsidRPr="00A42897" w:rsidTr="00A42897">
        <w:trPr>
          <w:trHeight w:val="325"/>
          <w:jc w:val="center"/>
        </w:trPr>
        <w:tc>
          <w:tcPr>
            <w:tcW w:w="2580"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654F1F" w:rsidRPr="00A42897" w:rsidRDefault="00654F1F" w:rsidP="00654F1F">
            <w:pPr>
              <w:spacing w:after="0" w:line="240" w:lineRule="auto"/>
              <w:rPr>
                <w:rFonts w:ascii="Times New Roman" w:eastAsia="Times New Roman" w:hAnsi="Times New Roman"/>
                <w:color w:val="000000"/>
                <w:sz w:val="20"/>
                <w:szCs w:val="20"/>
                <w:lang w:eastAsia="lv-LV"/>
              </w:rPr>
            </w:pPr>
            <w:r w:rsidRPr="00A42897">
              <w:rPr>
                <w:rFonts w:ascii="Times New Roman" w:eastAsia="Times New Roman" w:hAnsi="Times New Roman"/>
                <w:color w:val="000000"/>
                <w:sz w:val="20"/>
                <w:szCs w:val="20"/>
                <w:lang w:eastAsia="lv-LV"/>
              </w:rPr>
              <w:t>Kopējais likviditātes rādītājs</w:t>
            </w:r>
          </w:p>
        </w:tc>
        <w:tc>
          <w:tcPr>
            <w:tcW w:w="1300" w:type="dxa"/>
            <w:tcBorders>
              <w:top w:val="nil"/>
              <w:left w:val="nil"/>
              <w:bottom w:val="single" w:sz="4" w:space="0" w:color="auto"/>
              <w:right w:val="single" w:sz="4" w:space="0" w:color="auto"/>
            </w:tcBorders>
            <w:shd w:val="clear" w:color="000000" w:fill="DCE6F1"/>
            <w:noWrap/>
            <w:vAlign w:val="center"/>
            <w:hideMark/>
          </w:tcPr>
          <w:p w:rsidR="00654F1F" w:rsidRPr="00A42897" w:rsidRDefault="00654F1F" w:rsidP="00654F1F">
            <w:pPr>
              <w:spacing w:after="0" w:line="240" w:lineRule="auto"/>
              <w:jc w:val="center"/>
              <w:rPr>
                <w:rFonts w:ascii="Times New Roman" w:eastAsia="Times New Roman" w:hAnsi="Times New Roman"/>
                <w:color w:val="000000"/>
                <w:sz w:val="20"/>
                <w:szCs w:val="20"/>
                <w:lang w:eastAsia="lv-LV"/>
              </w:rPr>
            </w:pPr>
            <w:r w:rsidRPr="00A42897">
              <w:rPr>
                <w:rFonts w:ascii="Times New Roman" w:eastAsia="Times New Roman" w:hAnsi="Times New Roman"/>
                <w:color w:val="000000"/>
                <w:sz w:val="20"/>
                <w:szCs w:val="20"/>
                <w:lang w:eastAsia="lv-LV"/>
              </w:rPr>
              <w:t>1,22</w:t>
            </w:r>
          </w:p>
        </w:tc>
        <w:tc>
          <w:tcPr>
            <w:tcW w:w="1200" w:type="dxa"/>
            <w:tcBorders>
              <w:top w:val="nil"/>
              <w:left w:val="nil"/>
              <w:bottom w:val="single" w:sz="4" w:space="0" w:color="auto"/>
              <w:right w:val="single" w:sz="4" w:space="0" w:color="auto"/>
            </w:tcBorders>
            <w:shd w:val="clear" w:color="000000" w:fill="DCE6F1"/>
            <w:noWrap/>
            <w:vAlign w:val="center"/>
            <w:hideMark/>
          </w:tcPr>
          <w:p w:rsidR="00654F1F" w:rsidRPr="00A42897" w:rsidRDefault="00654F1F" w:rsidP="00654F1F">
            <w:pPr>
              <w:spacing w:after="0" w:line="240" w:lineRule="auto"/>
              <w:jc w:val="center"/>
              <w:rPr>
                <w:rFonts w:ascii="Times New Roman" w:eastAsia="Times New Roman" w:hAnsi="Times New Roman"/>
                <w:color w:val="000000"/>
                <w:sz w:val="20"/>
                <w:szCs w:val="20"/>
                <w:lang w:eastAsia="lv-LV"/>
              </w:rPr>
            </w:pPr>
            <w:r w:rsidRPr="00A42897">
              <w:rPr>
                <w:rFonts w:ascii="Times New Roman" w:eastAsia="Times New Roman" w:hAnsi="Times New Roman"/>
                <w:color w:val="000000"/>
                <w:sz w:val="20"/>
                <w:szCs w:val="20"/>
                <w:lang w:eastAsia="lv-LV"/>
              </w:rPr>
              <w:t>1,01</w:t>
            </w:r>
          </w:p>
        </w:tc>
        <w:tc>
          <w:tcPr>
            <w:tcW w:w="1260" w:type="dxa"/>
            <w:tcBorders>
              <w:top w:val="nil"/>
              <w:left w:val="nil"/>
              <w:bottom w:val="single" w:sz="4" w:space="0" w:color="auto"/>
              <w:right w:val="single" w:sz="4" w:space="0" w:color="auto"/>
            </w:tcBorders>
            <w:shd w:val="clear" w:color="000000" w:fill="DCE6F1"/>
            <w:noWrap/>
            <w:vAlign w:val="center"/>
            <w:hideMark/>
          </w:tcPr>
          <w:p w:rsidR="00654F1F" w:rsidRPr="00A42897" w:rsidRDefault="00654F1F" w:rsidP="00654F1F">
            <w:pPr>
              <w:spacing w:after="0" w:line="240" w:lineRule="auto"/>
              <w:jc w:val="center"/>
              <w:rPr>
                <w:rFonts w:ascii="Times New Roman" w:eastAsia="Times New Roman" w:hAnsi="Times New Roman"/>
                <w:color w:val="000000"/>
                <w:sz w:val="20"/>
                <w:szCs w:val="20"/>
                <w:lang w:eastAsia="lv-LV"/>
              </w:rPr>
            </w:pPr>
            <w:r w:rsidRPr="00A42897">
              <w:rPr>
                <w:rFonts w:ascii="Times New Roman" w:eastAsia="Times New Roman" w:hAnsi="Times New Roman"/>
                <w:color w:val="000000"/>
                <w:sz w:val="20"/>
                <w:szCs w:val="20"/>
                <w:lang w:eastAsia="lv-LV"/>
              </w:rPr>
              <w:t>1,50</w:t>
            </w:r>
          </w:p>
        </w:tc>
        <w:tc>
          <w:tcPr>
            <w:tcW w:w="1115" w:type="dxa"/>
            <w:tcBorders>
              <w:top w:val="nil"/>
              <w:left w:val="nil"/>
              <w:bottom w:val="single" w:sz="4" w:space="0" w:color="auto"/>
              <w:right w:val="single" w:sz="4" w:space="0" w:color="auto"/>
            </w:tcBorders>
            <w:shd w:val="clear" w:color="000000" w:fill="DCE6F1"/>
            <w:noWrap/>
            <w:vAlign w:val="center"/>
            <w:hideMark/>
          </w:tcPr>
          <w:p w:rsidR="00654F1F" w:rsidRPr="00A42897" w:rsidRDefault="00654F1F" w:rsidP="00654F1F">
            <w:pPr>
              <w:spacing w:after="0" w:line="240" w:lineRule="auto"/>
              <w:jc w:val="center"/>
              <w:rPr>
                <w:rFonts w:ascii="Times New Roman" w:eastAsia="Times New Roman" w:hAnsi="Times New Roman"/>
                <w:color w:val="000000"/>
                <w:sz w:val="20"/>
                <w:szCs w:val="20"/>
                <w:lang w:eastAsia="lv-LV"/>
              </w:rPr>
            </w:pPr>
            <w:r w:rsidRPr="00A42897">
              <w:rPr>
                <w:rFonts w:ascii="Times New Roman" w:eastAsia="Times New Roman" w:hAnsi="Times New Roman"/>
                <w:color w:val="000000"/>
                <w:sz w:val="20"/>
                <w:szCs w:val="20"/>
                <w:lang w:eastAsia="lv-LV"/>
              </w:rPr>
              <w:t>1,64</w:t>
            </w:r>
          </w:p>
        </w:tc>
      </w:tr>
    </w:tbl>
    <w:p w:rsidR="00654F1F" w:rsidRDefault="00654F1F" w:rsidP="00C5597B">
      <w:pPr>
        <w:ind w:firstLine="720"/>
        <w:rPr>
          <w:rFonts w:ascii="Times New Roman" w:hAnsi="Times New Roman"/>
        </w:rPr>
      </w:pPr>
    </w:p>
    <w:p w:rsidR="00761A92" w:rsidRDefault="00761A92" w:rsidP="00C5597B">
      <w:pPr>
        <w:ind w:firstLine="720"/>
        <w:rPr>
          <w:rFonts w:ascii="Times New Roman" w:hAnsi="Times New Roman"/>
        </w:rPr>
      </w:pPr>
    </w:p>
    <w:p w:rsidR="00A42897" w:rsidRDefault="00A42897">
      <w:pPr>
        <w:spacing w:after="0" w:line="240" w:lineRule="auto"/>
        <w:rPr>
          <w:rFonts w:ascii="Times New Roman" w:hAnsi="Times New Roman"/>
          <w:b/>
          <w:noProof/>
          <w:sz w:val="28"/>
          <w:szCs w:val="28"/>
        </w:rPr>
      </w:pPr>
      <w:r>
        <w:rPr>
          <w:rFonts w:ascii="Times New Roman" w:hAnsi="Times New Roman"/>
          <w:b/>
          <w:noProof/>
          <w:sz w:val="28"/>
          <w:szCs w:val="28"/>
        </w:rPr>
        <w:br w:type="page"/>
      </w:r>
    </w:p>
    <w:p w:rsidR="00B34113" w:rsidRPr="00903810" w:rsidRDefault="008314E5" w:rsidP="00B34113">
      <w:pPr>
        <w:spacing w:after="0" w:line="240" w:lineRule="auto"/>
        <w:jc w:val="both"/>
        <w:rPr>
          <w:rFonts w:ascii="Times New Roman" w:hAnsi="Times New Roman"/>
          <w:b/>
          <w:sz w:val="28"/>
          <w:szCs w:val="28"/>
        </w:rPr>
      </w:pPr>
      <w:r>
        <w:rPr>
          <w:rFonts w:ascii="Times New Roman" w:hAnsi="Times New Roman"/>
          <w:b/>
          <w:noProof/>
          <w:sz w:val="28"/>
          <w:szCs w:val="28"/>
        </w:rPr>
        <w:lastRenderedPageBreak/>
        <w:t>7</w:t>
      </w:r>
      <w:r w:rsidR="00B34113" w:rsidRPr="00903810">
        <w:rPr>
          <w:rFonts w:ascii="Times New Roman" w:hAnsi="Times New Roman"/>
          <w:b/>
          <w:noProof/>
          <w:sz w:val="28"/>
          <w:szCs w:val="28"/>
        </w:rPr>
        <w:t>. Maksājumu parādi</w:t>
      </w:r>
      <w:r w:rsidR="00B34113" w:rsidRPr="00903810">
        <w:rPr>
          <w:rFonts w:ascii="Times New Roman" w:hAnsi="Times New Roman"/>
          <w:b/>
          <w:sz w:val="28"/>
          <w:szCs w:val="28"/>
        </w:rPr>
        <w:t xml:space="preserve"> </w:t>
      </w:r>
    </w:p>
    <w:p w:rsidR="00B34113" w:rsidRPr="009C50D2" w:rsidRDefault="00B34113" w:rsidP="00B34113">
      <w:pPr>
        <w:spacing w:after="0" w:line="240" w:lineRule="auto"/>
        <w:ind w:firstLine="720"/>
        <w:jc w:val="both"/>
        <w:rPr>
          <w:rFonts w:ascii="Times New Roman" w:hAnsi="Times New Roman"/>
          <w:sz w:val="26"/>
          <w:szCs w:val="26"/>
        </w:rPr>
      </w:pPr>
      <w:r w:rsidRPr="009C50D2">
        <w:rPr>
          <w:rFonts w:ascii="Times New Roman" w:hAnsi="Times New Roman"/>
          <w:sz w:val="26"/>
          <w:szCs w:val="26"/>
        </w:rPr>
        <w:t>Nozarē nodarbināto nodokļu maksātāju parāds uz 201</w:t>
      </w:r>
      <w:r w:rsidR="009C50D2" w:rsidRPr="009C50D2">
        <w:rPr>
          <w:rFonts w:ascii="Times New Roman" w:hAnsi="Times New Roman"/>
          <w:sz w:val="26"/>
          <w:szCs w:val="26"/>
        </w:rPr>
        <w:t xml:space="preserve">3.gada 1.septembri ir 0,31 milj. latu, </w:t>
      </w:r>
      <w:r w:rsidR="009C50D2" w:rsidRPr="009C50D2">
        <w:rPr>
          <w:rFonts w:ascii="Times New Roman" w:hAnsi="Times New Roman"/>
          <w:bCs/>
          <w:color w:val="000000"/>
          <w:sz w:val="26"/>
          <w:szCs w:val="26"/>
        </w:rPr>
        <w:t xml:space="preserve">kas ir </w:t>
      </w:r>
      <w:r w:rsidR="009C50D2" w:rsidRPr="009C50D2">
        <w:rPr>
          <w:rFonts w:ascii="Times New Roman" w:hAnsi="Times New Roman"/>
          <w:bCs/>
          <w:color w:val="000000"/>
          <w:sz w:val="26"/>
          <w:szCs w:val="26"/>
        </w:rPr>
        <w:t>0,03</w:t>
      </w:r>
      <w:r w:rsidR="009C50D2" w:rsidRPr="009C50D2">
        <w:rPr>
          <w:rFonts w:ascii="Times New Roman" w:hAnsi="Times New Roman"/>
          <w:bCs/>
          <w:color w:val="000000"/>
          <w:sz w:val="26"/>
          <w:szCs w:val="26"/>
        </w:rPr>
        <w:t xml:space="preserve"> % no </w:t>
      </w:r>
      <w:r w:rsidR="009C50D2" w:rsidRPr="009C50D2">
        <w:rPr>
          <w:rFonts w:ascii="Times New Roman" w:hAnsi="Times New Roman"/>
          <w:bCs/>
          <w:color w:val="000000"/>
          <w:sz w:val="26"/>
          <w:szCs w:val="26"/>
        </w:rPr>
        <w:t xml:space="preserve">visu nodokļu maksātāju </w:t>
      </w:r>
      <w:r w:rsidR="009C50D2" w:rsidRPr="009C50D2">
        <w:rPr>
          <w:rFonts w:ascii="Times New Roman" w:hAnsi="Times New Roman"/>
          <w:bCs/>
          <w:color w:val="000000"/>
          <w:sz w:val="26"/>
          <w:szCs w:val="26"/>
        </w:rPr>
        <w:t>kopējās parādu summas.</w:t>
      </w:r>
      <w:r w:rsidR="009C50D2" w:rsidRPr="009C50D2">
        <w:rPr>
          <w:rFonts w:ascii="Times New Roman" w:hAnsi="Times New Roman"/>
          <w:sz w:val="26"/>
          <w:szCs w:val="26"/>
        </w:rPr>
        <w:t xml:space="preserve"> </w:t>
      </w:r>
    </w:p>
    <w:p w:rsidR="00B34113" w:rsidRPr="00903810" w:rsidRDefault="00B34113" w:rsidP="00B34113">
      <w:pPr>
        <w:spacing w:after="0" w:line="240" w:lineRule="auto"/>
        <w:ind w:hanging="142"/>
        <w:jc w:val="center"/>
        <w:rPr>
          <w:rFonts w:ascii="Times New Roman" w:hAnsi="Times New Roman"/>
          <w:sz w:val="28"/>
          <w:szCs w:val="28"/>
          <w:highlight w:val="green"/>
        </w:rPr>
      </w:pPr>
      <w:r>
        <w:rPr>
          <w:noProof/>
          <w:lang w:eastAsia="lv-LV"/>
        </w:rPr>
        <w:drawing>
          <wp:inline distT="0" distB="0" distL="0" distR="0" wp14:anchorId="06E8316B" wp14:editId="14BC7C2A">
            <wp:extent cx="4842933" cy="2761191"/>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4113" w:rsidRPr="00903810" w:rsidRDefault="00B34113" w:rsidP="00B34113">
      <w:pPr>
        <w:spacing w:after="0" w:line="240" w:lineRule="auto"/>
        <w:ind w:firstLine="720"/>
        <w:jc w:val="both"/>
        <w:rPr>
          <w:rFonts w:ascii="Times New Roman" w:hAnsi="Times New Roman"/>
          <w:sz w:val="28"/>
          <w:szCs w:val="28"/>
        </w:rPr>
      </w:pPr>
    </w:p>
    <w:p w:rsidR="00B34113" w:rsidRPr="00C43315" w:rsidRDefault="00B34113" w:rsidP="00B34113">
      <w:pPr>
        <w:spacing w:after="0" w:line="240" w:lineRule="auto"/>
        <w:ind w:firstLine="709"/>
        <w:jc w:val="both"/>
        <w:rPr>
          <w:rFonts w:ascii="Times New Roman" w:hAnsi="Times New Roman"/>
          <w:sz w:val="26"/>
          <w:szCs w:val="26"/>
        </w:rPr>
      </w:pPr>
      <w:r w:rsidRPr="00903810">
        <w:rPr>
          <w:rFonts w:ascii="Times New Roman" w:hAnsi="Times New Roman"/>
          <w:sz w:val="28"/>
          <w:szCs w:val="28"/>
        </w:rPr>
        <w:t xml:space="preserve">   </w:t>
      </w:r>
      <w:r w:rsidRPr="00C43315">
        <w:rPr>
          <w:rFonts w:ascii="Times New Roman" w:hAnsi="Times New Roman"/>
          <w:sz w:val="26"/>
          <w:szCs w:val="26"/>
        </w:rPr>
        <w:t xml:space="preserve">Nozares nodokļu maksātājiem uz 2013.gada 1.janvāri, salīdzinot ar 2012.gada 1.janvāri, kopējā nodokļu parādu summa ir palielinājusies par 0,05 milj. latu jeb 20 %. Savukārt, salīdzinot kopējo parādu uz 2013.gada 1.janvāri ar parādu uz 2013.gada 1.septembri, summa ir palielinājusies par 0,01 milj. latu jeb 3,3 % </w:t>
      </w:r>
      <w:r w:rsidRPr="00A42897">
        <w:rPr>
          <w:rFonts w:ascii="Times New Roman" w:hAnsi="Times New Roman"/>
          <w:i/>
          <w:sz w:val="26"/>
          <w:szCs w:val="26"/>
        </w:rPr>
        <w:t>(s</w:t>
      </w:r>
      <w:r w:rsidR="00A42897" w:rsidRPr="00A42897">
        <w:rPr>
          <w:rFonts w:ascii="Times New Roman" w:hAnsi="Times New Roman"/>
          <w:i/>
          <w:sz w:val="26"/>
          <w:szCs w:val="26"/>
        </w:rPr>
        <w:t>katīt 10</w:t>
      </w:r>
      <w:r w:rsidRPr="00A42897">
        <w:rPr>
          <w:rFonts w:ascii="Times New Roman" w:hAnsi="Times New Roman"/>
          <w:i/>
          <w:sz w:val="26"/>
          <w:szCs w:val="26"/>
        </w:rPr>
        <w:t xml:space="preserve">.tabulu). </w:t>
      </w:r>
    </w:p>
    <w:p w:rsidR="00B34113" w:rsidRPr="00C43315" w:rsidRDefault="00B34113" w:rsidP="00B34113">
      <w:pPr>
        <w:spacing w:after="0" w:line="240" w:lineRule="auto"/>
        <w:ind w:firstLine="709"/>
        <w:jc w:val="right"/>
        <w:rPr>
          <w:rFonts w:ascii="Times New Roman" w:hAnsi="Times New Roman"/>
          <w:sz w:val="26"/>
          <w:szCs w:val="26"/>
        </w:rPr>
      </w:pPr>
    </w:p>
    <w:p w:rsidR="00B34113" w:rsidRPr="00C43315" w:rsidRDefault="00A42897" w:rsidP="00B34113">
      <w:pPr>
        <w:spacing w:after="0" w:line="240" w:lineRule="auto"/>
        <w:ind w:firstLine="709"/>
        <w:jc w:val="right"/>
        <w:rPr>
          <w:rFonts w:ascii="Times New Roman" w:hAnsi="Times New Roman"/>
          <w:sz w:val="26"/>
          <w:szCs w:val="26"/>
        </w:rPr>
      </w:pPr>
      <w:r>
        <w:rPr>
          <w:rFonts w:ascii="Times New Roman" w:hAnsi="Times New Roman"/>
          <w:sz w:val="26"/>
          <w:szCs w:val="26"/>
        </w:rPr>
        <w:t>10</w:t>
      </w:r>
      <w:r w:rsidR="00B34113" w:rsidRPr="00C43315">
        <w:rPr>
          <w:rFonts w:ascii="Times New Roman" w:hAnsi="Times New Roman"/>
          <w:sz w:val="26"/>
          <w:szCs w:val="26"/>
        </w:rPr>
        <w:t>.tabula</w:t>
      </w:r>
    </w:p>
    <w:p w:rsidR="00B34113" w:rsidRPr="00C43315" w:rsidRDefault="00B34113" w:rsidP="00B34113">
      <w:pPr>
        <w:spacing w:after="0" w:line="240" w:lineRule="auto"/>
        <w:jc w:val="center"/>
        <w:rPr>
          <w:rFonts w:ascii="Times New Roman" w:hAnsi="Times New Roman"/>
          <w:b/>
          <w:sz w:val="26"/>
          <w:szCs w:val="26"/>
        </w:rPr>
      </w:pPr>
      <w:r w:rsidRPr="00C43315">
        <w:rPr>
          <w:rFonts w:ascii="Times New Roman" w:hAnsi="Times New Roman"/>
          <w:b/>
          <w:sz w:val="26"/>
          <w:szCs w:val="26"/>
        </w:rPr>
        <w:t>Nodokļu parāda struktūra, milj. latu</w:t>
      </w:r>
    </w:p>
    <w:p w:rsidR="00B34113" w:rsidRPr="00903810" w:rsidRDefault="00B34113" w:rsidP="00B34113">
      <w:pPr>
        <w:spacing w:after="0" w:line="240" w:lineRule="auto"/>
        <w:jc w:val="center"/>
        <w:rPr>
          <w:rFonts w:ascii="Times New Roman" w:hAnsi="Times New Roman"/>
          <w:b/>
          <w:sz w:val="28"/>
          <w:szCs w:val="28"/>
        </w:rPr>
      </w:pPr>
    </w:p>
    <w:tbl>
      <w:tblPr>
        <w:tblW w:w="8708" w:type="dxa"/>
        <w:tblInd w:w="93" w:type="dxa"/>
        <w:tblLook w:val="04A0" w:firstRow="1" w:lastRow="0" w:firstColumn="1" w:lastColumn="0" w:noHBand="0" w:noVBand="1"/>
      </w:tblPr>
      <w:tblGrid>
        <w:gridCol w:w="1575"/>
        <w:gridCol w:w="1071"/>
        <w:gridCol w:w="1071"/>
        <w:gridCol w:w="1374"/>
        <w:gridCol w:w="626"/>
        <w:gridCol w:w="1071"/>
        <w:gridCol w:w="1251"/>
        <w:gridCol w:w="669"/>
      </w:tblGrid>
      <w:tr w:rsidR="00B34113" w:rsidRPr="00A55423" w:rsidTr="00C43315">
        <w:trPr>
          <w:trHeight w:val="585"/>
        </w:trPr>
        <w:tc>
          <w:tcPr>
            <w:tcW w:w="1575" w:type="dxa"/>
            <w:vMerge w:val="restart"/>
            <w:tcBorders>
              <w:top w:val="single" w:sz="8" w:space="0" w:color="FFFFFF"/>
              <w:left w:val="single" w:sz="8" w:space="0" w:color="FFFFFF"/>
              <w:bottom w:val="single" w:sz="8" w:space="0" w:color="FFFFFF"/>
              <w:right w:val="single" w:sz="8" w:space="0" w:color="FFFFFF"/>
            </w:tcBorders>
            <w:shd w:val="clear" w:color="000000" w:fill="95B3D7"/>
            <w:noWrap/>
            <w:vAlign w:val="center"/>
            <w:hideMark/>
          </w:tcPr>
          <w:p w:rsidR="00B34113" w:rsidRPr="00A55423" w:rsidRDefault="00B34113" w:rsidP="00C43315">
            <w:pPr>
              <w:spacing w:after="0" w:line="240" w:lineRule="auto"/>
              <w:jc w:val="center"/>
              <w:rPr>
                <w:rFonts w:ascii="Times New Roman" w:eastAsia="Times New Roman" w:hAnsi="Times New Roman"/>
                <w:b/>
                <w:bCs/>
                <w:color w:val="000000"/>
                <w:sz w:val="16"/>
                <w:szCs w:val="16"/>
                <w:lang w:eastAsia="lv-LV"/>
              </w:rPr>
            </w:pPr>
            <w:r w:rsidRPr="00A55423">
              <w:rPr>
                <w:rFonts w:ascii="Times New Roman" w:eastAsia="Times New Roman" w:hAnsi="Times New Roman"/>
                <w:b/>
                <w:bCs/>
                <w:color w:val="000000"/>
                <w:sz w:val="16"/>
                <w:szCs w:val="16"/>
                <w:lang w:eastAsia="lv-LV"/>
              </w:rPr>
              <w:t> </w:t>
            </w:r>
          </w:p>
        </w:tc>
        <w:tc>
          <w:tcPr>
            <w:tcW w:w="1071" w:type="dxa"/>
            <w:vMerge w:val="restart"/>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B34113" w:rsidRPr="00A55423" w:rsidRDefault="00B34113" w:rsidP="00C43315">
            <w:pPr>
              <w:spacing w:after="0" w:line="240" w:lineRule="auto"/>
              <w:jc w:val="center"/>
              <w:rPr>
                <w:rFonts w:ascii="Times New Roman" w:eastAsia="Times New Roman" w:hAnsi="Times New Roman"/>
                <w:b/>
                <w:bCs/>
                <w:color w:val="000000"/>
                <w:sz w:val="18"/>
                <w:szCs w:val="18"/>
                <w:lang w:eastAsia="lv-LV"/>
              </w:rPr>
            </w:pPr>
            <w:r w:rsidRPr="00A55423">
              <w:rPr>
                <w:rFonts w:ascii="Times New Roman" w:eastAsia="Times New Roman" w:hAnsi="Times New Roman"/>
                <w:b/>
                <w:bCs/>
                <w:color w:val="000000"/>
                <w:sz w:val="18"/>
                <w:szCs w:val="18"/>
                <w:lang w:eastAsia="lv-LV"/>
              </w:rPr>
              <w:t>Parāds uz 01.01.2012.</w:t>
            </w:r>
          </w:p>
        </w:tc>
        <w:tc>
          <w:tcPr>
            <w:tcW w:w="1071" w:type="dxa"/>
            <w:vMerge w:val="restart"/>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B34113" w:rsidRPr="00A55423" w:rsidRDefault="00B34113" w:rsidP="00C43315">
            <w:pPr>
              <w:spacing w:after="0" w:line="240" w:lineRule="auto"/>
              <w:jc w:val="center"/>
              <w:rPr>
                <w:rFonts w:ascii="Times New Roman" w:eastAsia="Times New Roman" w:hAnsi="Times New Roman"/>
                <w:b/>
                <w:bCs/>
                <w:color w:val="000000"/>
                <w:sz w:val="18"/>
                <w:szCs w:val="18"/>
                <w:lang w:eastAsia="lv-LV"/>
              </w:rPr>
            </w:pPr>
            <w:r w:rsidRPr="00A55423">
              <w:rPr>
                <w:rFonts w:ascii="Times New Roman" w:eastAsia="Times New Roman" w:hAnsi="Times New Roman"/>
                <w:b/>
                <w:bCs/>
                <w:color w:val="000000"/>
                <w:sz w:val="18"/>
                <w:szCs w:val="18"/>
                <w:lang w:eastAsia="lv-LV"/>
              </w:rPr>
              <w:t>Parāds uz 01.01.2013.</w:t>
            </w:r>
          </w:p>
        </w:tc>
        <w:tc>
          <w:tcPr>
            <w:tcW w:w="2000" w:type="dxa"/>
            <w:gridSpan w:val="2"/>
            <w:tcBorders>
              <w:top w:val="single" w:sz="8" w:space="0" w:color="FFFFFF"/>
              <w:left w:val="nil"/>
              <w:bottom w:val="single" w:sz="12" w:space="0" w:color="FFFFFF"/>
              <w:right w:val="single" w:sz="8" w:space="0" w:color="FFFFFF"/>
            </w:tcBorders>
            <w:shd w:val="clear" w:color="000000" w:fill="95B3D7"/>
            <w:noWrap/>
            <w:vAlign w:val="center"/>
            <w:hideMark/>
          </w:tcPr>
          <w:p w:rsidR="00B34113" w:rsidRPr="00A55423" w:rsidRDefault="00B34113" w:rsidP="00C43315">
            <w:pPr>
              <w:spacing w:after="0" w:line="240" w:lineRule="auto"/>
              <w:jc w:val="center"/>
              <w:rPr>
                <w:rFonts w:ascii="Times New Roman" w:eastAsia="Times New Roman" w:hAnsi="Times New Roman"/>
                <w:b/>
                <w:bCs/>
                <w:color w:val="000000"/>
                <w:sz w:val="18"/>
                <w:szCs w:val="18"/>
                <w:lang w:eastAsia="lv-LV"/>
              </w:rPr>
            </w:pPr>
            <w:r w:rsidRPr="00A55423">
              <w:rPr>
                <w:rFonts w:ascii="Times New Roman" w:eastAsia="Times New Roman" w:hAnsi="Times New Roman"/>
                <w:b/>
                <w:bCs/>
                <w:color w:val="000000"/>
                <w:sz w:val="18"/>
                <w:szCs w:val="18"/>
                <w:lang w:eastAsia="lv-LV"/>
              </w:rPr>
              <w:t>Izmaiņas 2012.gadā</w:t>
            </w:r>
          </w:p>
        </w:tc>
        <w:tc>
          <w:tcPr>
            <w:tcW w:w="1071" w:type="dxa"/>
            <w:vMerge w:val="restart"/>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B34113" w:rsidRPr="00A55423" w:rsidRDefault="00C43315" w:rsidP="00C43315">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Parāds uz 01.09</w:t>
            </w:r>
            <w:r w:rsidR="00B34113" w:rsidRPr="00A55423">
              <w:rPr>
                <w:rFonts w:ascii="Times New Roman" w:eastAsia="Times New Roman" w:hAnsi="Times New Roman"/>
                <w:b/>
                <w:bCs/>
                <w:color w:val="000000"/>
                <w:sz w:val="18"/>
                <w:szCs w:val="18"/>
                <w:lang w:eastAsia="lv-LV"/>
              </w:rPr>
              <w:t>.2013.</w:t>
            </w:r>
          </w:p>
        </w:tc>
        <w:tc>
          <w:tcPr>
            <w:tcW w:w="1920" w:type="dxa"/>
            <w:gridSpan w:val="2"/>
            <w:tcBorders>
              <w:top w:val="single" w:sz="8" w:space="0" w:color="FFFFFF"/>
              <w:left w:val="nil"/>
              <w:bottom w:val="single" w:sz="12" w:space="0" w:color="FFFFFF"/>
              <w:right w:val="single" w:sz="8" w:space="0" w:color="FFFFFF"/>
            </w:tcBorders>
            <w:shd w:val="clear" w:color="000000" w:fill="95B3D7"/>
            <w:noWrap/>
            <w:vAlign w:val="center"/>
            <w:hideMark/>
          </w:tcPr>
          <w:p w:rsidR="00B34113" w:rsidRPr="00A55423" w:rsidRDefault="00C43315" w:rsidP="00C43315">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Izmaiņas 2013.gada 8</w:t>
            </w:r>
            <w:r w:rsidR="00B34113" w:rsidRPr="00A55423">
              <w:rPr>
                <w:rFonts w:ascii="Times New Roman" w:eastAsia="Times New Roman" w:hAnsi="Times New Roman"/>
                <w:b/>
                <w:bCs/>
                <w:color w:val="000000"/>
                <w:sz w:val="18"/>
                <w:szCs w:val="18"/>
                <w:lang w:eastAsia="lv-LV"/>
              </w:rPr>
              <w:t> mēnešos</w:t>
            </w:r>
          </w:p>
        </w:tc>
      </w:tr>
      <w:tr w:rsidR="00B34113" w:rsidRPr="00A55423" w:rsidTr="00C43315">
        <w:trPr>
          <w:trHeight w:val="285"/>
        </w:trPr>
        <w:tc>
          <w:tcPr>
            <w:tcW w:w="1575" w:type="dxa"/>
            <w:vMerge/>
            <w:tcBorders>
              <w:top w:val="single" w:sz="8" w:space="0" w:color="FFFFFF"/>
              <w:left w:val="single" w:sz="8" w:space="0" w:color="FFFFFF"/>
              <w:bottom w:val="single" w:sz="8" w:space="0" w:color="FFFFFF"/>
              <w:right w:val="single" w:sz="8" w:space="0" w:color="FFFFFF"/>
            </w:tcBorders>
            <w:vAlign w:val="center"/>
            <w:hideMark/>
          </w:tcPr>
          <w:p w:rsidR="00B34113" w:rsidRPr="00A55423" w:rsidRDefault="00B34113" w:rsidP="00C43315">
            <w:pPr>
              <w:spacing w:after="0" w:line="240" w:lineRule="auto"/>
              <w:rPr>
                <w:rFonts w:ascii="Times New Roman" w:eastAsia="Times New Roman" w:hAnsi="Times New Roman"/>
                <w:b/>
                <w:bCs/>
                <w:color w:val="000000"/>
                <w:sz w:val="16"/>
                <w:szCs w:val="16"/>
                <w:lang w:eastAsia="lv-LV"/>
              </w:rPr>
            </w:pPr>
          </w:p>
        </w:tc>
        <w:tc>
          <w:tcPr>
            <w:tcW w:w="1071" w:type="dxa"/>
            <w:vMerge/>
            <w:tcBorders>
              <w:top w:val="single" w:sz="8" w:space="0" w:color="FFFFFF"/>
              <w:left w:val="single" w:sz="8" w:space="0" w:color="FFFFFF"/>
              <w:bottom w:val="single" w:sz="8" w:space="0" w:color="FFFFFF"/>
              <w:right w:val="single" w:sz="8" w:space="0" w:color="FFFFFF"/>
            </w:tcBorders>
            <w:vAlign w:val="center"/>
            <w:hideMark/>
          </w:tcPr>
          <w:p w:rsidR="00B34113" w:rsidRPr="00A55423" w:rsidRDefault="00B34113" w:rsidP="00C43315">
            <w:pPr>
              <w:spacing w:after="0" w:line="240" w:lineRule="auto"/>
              <w:rPr>
                <w:rFonts w:ascii="Times New Roman" w:eastAsia="Times New Roman" w:hAnsi="Times New Roman"/>
                <w:b/>
                <w:bCs/>
                <w:color w:val="000000"/>
                <w:sz w:val="18"/>
                <w:szCs w:val="18"/>
                <w:lang w:eastAsia="lv-LV"/>
              </w:rPr>
            </w:pPr>
          </w:p>
        </w:tc>
        <w:tc>
          <w:tcPr>
            <w:tcW w:w="1071" w:type="dxa"/>
            <w:vMerge/>
            <w:tcBorders>
              <w:top w:val="single" w:sz="8" w:space="0" w:color="FFFFFF"/>
              <w:left w:val="single" w:sz="8" w:space="0" w:color="FFFFFF"/>
              <w:bottom w:val="single" w:sz="8" w:space="0" w:color="FFFFFF"/>
              <w:right w:val="single" w:sz="8" w:space="0" w:color="FFFFFF"/>
            </w:tcBorders>
            <w:vAlign w:val="center"/>
            <w:hideMark/>
          </w:tcPr>
          <w:p w:rsidR="00B34113" w:rsidRPr="00A55423" w:rsidRDefault="00B34113" w:rsidP="00C43315">
            <w:pPr>
              <w:spacing w:after="0" w:line="240" w:lineRule="auto"/>
              <w:rPr>
                <w:rFonts w:ascii="Times New Roman" w:eastAsia="Times New Roman" w:hAnsi="Times New Roman"/>
                <w:b/>
                <w:bCs/>
                <w:color w:val="000000"/>
                <w:sz w:val="18"/>
                <w:szCs w:val="18"/>
                <w:lang w:eastAsia="lv-LV"/>
              </w:rPr>
            </w:pPr>
          </w:p>
        </w:tc>
        <w:tc>
          <w:tcPr>
            <w:tcW w:w="1374" w:type="dxa"/>
            <w:tcBorders>
              <w:top w:val="nil"/>
              <w:left w:val="nil"/>
              <w:bottom w:val="single" w:sz="8" w:space="0" w:color="FFFFFF"/>
              <w:right w:val="single" w:sz="8" w:space="0" w:color="FFFFFF"/>
            </w:tcBorders>
            <w:shd w:val="clear" w:color="000000" w:fill="95B3D7"/>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8"/>
                <w:szCs w:val="18"/>
                <w:lang w:eastAsia="lv-LV"/>
              </w:rPr>
            </w:pPr>
            <w:r w:rsidRPr="00A55423">
              <w:rPr>
                <w:rFonts w:ascii="Times New Roman" w:eastAsia="Times New Roman" w:hAnsi="Times New Roman"/>
                <w:color w:val="000000"/>
                <w:sz w:val="18"/>
                <w:szCs w:val="18"/>
                <w:lang w:eastAsia="lv-LV"/>
              </w:rPr>
              <w:t>milj. latu</w:t>
            </w:r>
          </w:p>
        </w:tc>
        <w:tc>
          <w:tcPr>
            <w:tcW w:w="626" w:type="dxa"/>
            <w:tcBorders>
              <w:top w:val="nil"/>
              <w:left w:val="nil"/>
              <w:bottom w:val="single" w:sz="8" w:space="0" w:color="FFFFFF"/>
              <w:right w:val="single" w:sz="8" w:space="0" w:color="FFFFFF"/>
            </w:tcBorders>
            <w:shd w:val="clear" w:color="000000" w:fill="95B3D7"/>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8"/>
                <w:szCs w:val="18"/>
                <w:lang w:eastAsia="lv-LV"/>
              </w:rPr>
            </w:pPr>
            <w:r w:rsidRPr="00A55423">
              <w:rPr>
                <w:rFonts w:ascii="Times New Roman" w:eastAsia="Times New Roman" w:hAnsi="Times New Roman"/>
                <w:color w:val="000000"/>
                <w:sz w:val="18"/>
                <w:szCs w:val="18"/>
                <w:lang w:eastAsia="lv-LV"/>
              </w:rPr>
              <w:t>%</w:t>
            </w:r>
          </w:p>
        </w:tc>
        <w:tc>
          <w:tcPr>
            <w:tcW w:w="1071" w:type="dxa"/>
            <w:vMerge/>
            <w:tcBorders>
              <w:top w:val="single" w:sz="8" w:space="0" w:color="FFFFFF"/>
              <w:left w:val="single" w:sz="8" w:space="0" w:color="FFFFFF"/>
              <w:bottom w:val="single" w:sz="8" w:space="0" w:color="FFFFFF"/>
              <w:right w:val="single" w:sz="8" w:space="0" w:color="FFFFFF"/>
            </w:tcBorders>
            <w:vAlign w:val="center"/>
            <w:hideMark/>
          </w:tcPr>
          <w:p w:rsidR="00B34113" w:rsidRPr="00A55423" w:rsidRDefault="00B34113" w:rsidP="00C43315">
            <w:pPr>
              <w:spacing w:after="0" w:line="240" w:lineRule="auto"/>
              <w:rPr>
                <w:rFonts w:ascii="Times New Roman" w:eastAsia="Times New Roman" w:hAnsi="Times New Roman"/>
                <w:b/>
                <w:bCs/>
                <w:color w:val="000000"/>
                <w:sz w:val="18"/>
                <w:szCs w:val="18"/>
                <w:lang w:eastAsia="lv-LV"/>
              </w:rPr>
            </w:pPr>
          </w:p>
        </w:tc>
        <w:tc>
          <w:tcPr>
            <w:tcW w:w="1251" w:type="dxa"/>
            <w:tcBorders>
              <w:top w:val="nil"/>
              <w:left w:val="nil"/>
              <w:bottom w:val="single" w:sz="8" w:space="0" w:color="FFFFFF"/>
              <w:right w:val="single" w:sz="8" w:space="0" w:color="FFFFFF"/>
            </w:tcBorders>
            <w:shd w:val="clear" w:color="000000" w:fill="95B3D7"/>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8"/>
                <w:szCs w:val="18"/>
                <w:lang w:eastAsia="lv-LV"/>
              </w:rPr>
            </w:pPr>
            <w:r w:rsidRPr="00A55423">
              <w:rPr>
                <w:rFonts w:ascii="Times New Roman" w:eastAsia="Times New Roman" w:hAnsi="Times New Roman"/>
                <w:color w:val="000000"/>
                <w:sz w:val="18"/>
                <w:szCs w:val="18"/>
                <w:lang w:eastAsia="lv-LV"/>
              </w:rPr>
              <w:t>milj. latu</w:t>
            </w:r>
          </w:p>
        </w:tc>
        <w:tc>
          <w:tcPr>
            <w:tcW w:w="669" w:type="dxa"/>
            <w:tcBorders>
              <w:top w:val="nil"/>
              <w:left w:val="nil"/>
              <w:bottom w:val="single" w:sz="8" w:space="0" w:color="FFFFFF"/>
              <w:right w:val="single" w:sz="8" w:space="0" w:color="FFFFFF"/>
            </w:tcBorders>
            <w:shd w:val="clear" w:color="000000" w:fill="95B3D7"/>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8"/>
                <w:szCs w:val="18"/>
                <w:lang w:eastAsia="lv-LV"/>
              </w:rPr>
            </w:pPr>
            <w:r w:rsidRPr="00A55423">
              <w:rPr>
                <w:rFonts w:ascii="Times New Roman" w:eastAsia="Times New Roman" w:hAnsi="Times New Roman"/>
                <w:color w:val="000000"/>
                <w:sz w:val="18"/>
                <w:szCs w:val="18"/>
                <w:lang w:eastAsia="lv-LV"/>
              </w:rPr>
              <w:t>%</w:t>
            </w:r>
          </w:p>
        </w:tc>
      </w:tr>
      <w:tr w:rsidR="00B34113" w:rsidRPr="00A55423" w:rsidTr="00C43315">
        <w:trPr>
          <w:trHeight w:val="533"/>
        </w:trPr>
        <w:tc>
          <w:tcPr>
            <w:tcW w:w="1575" w:type="dxa"/>
            <w:tcBorders>
              <w:top w:val="nil"/>
              <w:left w:val="single" w:sz="8" w:space="0" w:color="FFFFFF"/>
              <w:bottom w:val="single" w:sz="8" w:space="0" w:color="FFFFFF"/>
              <w:right w:val="single" w:sz="12" w:space="0" w:color="FFFFFF"/>
            </w:tcBorders>
            <w:shd w:val="clear" w:color="000000" w:fill="95B3D7"/>
            <w:vAlign w:val="center"/>
            <w:hideMark/>
          </w:tcPr>
          <w:p w:rsidR="00B34113" w:rsidRPr="00A55423" w:rsidRDefault="00B34113" w:rsidP="00C43315">
            <w:pPr>
              <w:spacing w:after="0" w:line="240" w:lineRule="auto"/>
              <w:rPr>
                <w:rFonts w:ascii="Times New Roman" w:eastAsia="Times New Roman" w:hAnsi="Times New Roman"/>
                <w:b/>
                <w:bCs/>
                <w:color w:val="000000"/>
                <w:sz w:val="16"/>
                <w:szCs w:val="16"/>
                <w:lang w:eastAsia="lv-LV"/>
              </w:rPr>
            </w:pPr>
            <w:r w:rsidRPr="00A55423">
              <w:rPr>
                <w:rFonts w:ascii="Times New Roman" w:eastAsia="Times New Roman" w:hAnsi="Times New Roman"/>
                <w:b/>
                <w:bCs/>
                <w:color w:val="000000"/>
                <w:sz w:val="16"/>
                <w:szCs w:val="16"/>
                <w:lang w:eastAsia="lv-LV"/>
              </w:rPr>
              <w:t>Parāda summa kopā, t.sk.:</w:t>
            </w:r>
          </w:p>
        </w:tc>
        <w:tc>
          <w:tcPr>
            <w:tcW w:w="1071" w:type="dxa"/>
            <w:tcBorders>
              <w:top w:val="single" w:sz="8" w:space="0" w:color="FFFFFF"/>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0,25</w:t>
            </w:r>
          </w:p>
        </w:tc>
        <w:tc>
          <w:tcPr>
            <w:tcW w:w="1071" w:type="dxa"/>
            <w:tcBorders>
              <w:top w:val="nil"/>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0,30</w:t>
            </w:r>
          </w:p>
        </w:tc>
        <w:tc>
          <w:tcPr>
            <w:tcW w:w="1374"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0,05</w:t>
            </w:r>
          </w:p>
        </w:tc>
        <w:tc>
          <w:tcPr>
            <w:tcW w:w="626"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20</w:t>
            </w:r>
          </w:p>
        </w:tc>
        <w:tc>
          <w:tcPr>
            <w:tcW w:w="107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0,31</w:t>
            </w:r>
          </w:p>
        </w:tc>
        <w:tc>
          <w:tcPr>
            <w:tcW w:w="125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0,01</w:t>
            </w:r>
          </w:p>
        </w:tc>
        <w:tc>
          <w:tcPr>
            <w:tcW w:w="669"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3,3</w:t>
            </w:r>
          </w:p>
        </w:tc>
      </w:tr>
      <w:tr w:rsidR="00B34113" w:rsidRPr="00A55423" w:rsidTr="00C43315">
        <w:trPr>
          <w:trHeight w:val="271"/>
        </w:trPr>
        <w:tc>
          <w:tcPr>
            <w:tcW w:w="1575" w:type="dxa"/>
            <w:tcBorders>
              <w:top w:val="nil"/>
              <w:left w:val="single" w:sz="8" w:space="0" w:color="FFFFFF"/>
              <w:bottom w:val="single" w:sz="8" w:space="0" w:color="FFFFFF"/>
              <w:right w:val="single" w:sz="12" w:space="0" w:color="FFFFFF"/>
            </w:tcBorders>
            <w:shd w:val="clear" w:color="000000" w:fill="95B3D7"/>
            <w:vAlign w:val="center"/>
            <w:hideMark/>
          </w:tcPr>
          <w:p w:rsidR="00B34113" w:rsidRPr="00A55423" w:rsidRDefault="00B34113" w:rsidP="00C43315">
            <w:pPr>
              <w:spacing w:after="0" w:line="240" w:lineRule="auto"/>
              <w:rPr>
                <w:rFonts w:ascii="Times New Roman" w:eastAsia="Times New Roman" w:hAnsi="Times New Roman"/>
                <w:b/>
                <w:bCs/>
                <w:color w:val="000000"/>
                <w:sz w:val="16"/>
                <w:szCs w:val="16"/>
                <w:lang w:eastAsia="lv-LV"/>
              </w:rPr>
            </w:pPr>
            <w:r w:rsidRPr="00A55423">
              <w:rPr>
                <w:rFonts w:ascii="Times New Roman" w:eastAsia="Times New Roman" w:hAnsi="Times New Roman"/>
                <w:b/>
                <w:bCs/>
                <w:color w:val="000000"/>
                <w:sz w:val="16"/>
                <w:szCs w:val="16"/>
                <w:lang w:eastAsia="lv-LV"/>
              </w:rPr>
              <w:t>-aktuālie parādi</w:t>
            </w:r>
          </w:p>
        </w:tc>
        <w:tc>
          <w:tcPr>
            <w:tcW w:w="1071" w:type="dxa"/>
            <w:tcBorders>
              <w:top w:val="single" w:sz="8" w:space="0" w:color="FFFFFF"/>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0,24</w:t>
            </w:r>
          </w:p>
        </w:tc>
        <w:tc>
          <w:tcPr>
            <w:tcW w:w="1071" w:type="dxa"/>
            <w:tcBorders>
              <w:top w:val="nil"/>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0,27</w:t>
            </w:r>
          </w:p>
        </w:tc>
        <w:tc>
          <w:tcPr>
            <w:tcW w:w="1374"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0,03</w:t>
            </w:r>
          </w:p>
        </w:tc>
        <w:tc>
          <w:tcPr>
            <w:tcW w:w="626"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12,5</w:t>
            </w:r>
          </w:p>
        </w:tc>
        <w:tc>
          <w:tcPr>
            <w:tcW w:w="107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0,26</w:t>
            </w:r>
          </w:p>
        </w:tc>
        <w:tc>
          <w:tcPr>
            <w:tcW w:w="125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-0,01</w:t>
            </w:r>
          </w:p>
        </w:tc>
        <w:tc>
          <w:tcPr>
            <w:tcW w:w="669"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-3,7</w:t>
            </w:r>
          </w:p>
        </w:tc>
      </w:tr>
      <w:tr w:rsidR="00B34113" w:rsidRPr="00A55423" w:rsidTr="00C43315">
        <w:trPr>
          <w:trHeight w:val="402"/>
        </w:trPr>
        <w:tc>
          <w:tcPr>
            <w:tcW w:w="1575" w:type="dxa"/>
            <w:tcBorders>
              <w:top w:val="nil"/>
              <w:left w:val="single" w:sz="8" w:space="0" w:color="FFFFFF"/>
              <w:bottom w:val="single" w:sz="8" w:space="0" w:color="FFFFFF"/>
              <w:right w:val="single" w:sz="12" w:space="0" w:color="FFFFFF"/>
            </w:tcBorders>
            <w:shd w:val="clear" w:color="000000" w:fill="95B3D7"/>
            <w:vAlign w:val="center"/>
            <w:hideMark/>
          </w:tcPr>
          <w:p w:rsidR="00B34113" w:rsidRPr="00A55423" w:rsidRDefault="00B34113" w:rsidP="00C43315">
            <w:pPr>
              <w:spacing w:after="0" w:line="240" w:lineRule="auto"/>
              <w:rPr>
                <w:rFonts w:ascii="Times New Roman" w:eastAsia="Times New Roman" w:hAnsi="Times New Roman"/>
                <w:b/>
                <w:bCs/>
                <w:color w:val="000000"/>
                <w:sz w:val="16"/>
                <w:szCs w:val="16"/>
                <w:lang w:eastAsia="lv-LV"/>
              </w:rPr>
            </w:pPr>
            <w:r w:rsidRPr="00A55423">
              <w:rPr>
                <w:rFonts w:ascii="Times New Roman" w:eastAsia="Times New Roman" w:hAnsi="Times New Roman"/>
                <w:b/>
                <w:bCs/>
                <w:color w:val="000000"/>
                <w:sz w:val="16"/>
                <w:szCs w:val="16"/>
                <w:lang w:eastAsia="lv-LV"/>
              </w:rPr>
              <w:t>-termiņa pagarinājumi</w:t>
            </w:r>
          </w:p>
        </w:tc>
        <w:tc>
          <w:tcPr>
            <w:tcW w:w="1071" w:type="dxa"/>
            <w:tcBorders>
              <w:top w:val="single" w:sz="8" w:space="0" w:color="FFFFFF"/>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0,005</w:t>
            </w:r>
          </w:p>
        </w:tc>
        <w:tc>
          <w:tcPr>
            <w:tcW w:w="1071" w:type="dxa"/>
            <w:tcBorders>
              <w:top w:val="nil"/>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0,03</w:t>
            </w:r>
          </w:p>
        </w:tc>
        <w:tc>
          <w:tcPr>
            <w:tcW w:w="1374"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0,025</w:t>
            </w:r>
          </w:p>
        </w:tc>
        <w:tc>
          <w:tcPr>
            <w:tcW w:w="626"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500</w:t>
            </w:r>
          </w:p>
        </w:tc>
        <w:tc>
          <w:tcPr>
            <w:tcW w:w="107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0,05</w:t>
            </w:r>
          </w:p>
        </w:tc>
        <w:tc>
          <w:tcPr>
            <w:tcW w:w="125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0,02</w:t>
            </w:r>
          </w:p>
        </w:tc>
        <w:tc>
          <w:tcPr>
            <w:tcW w:w="669"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66,7</w:t>
            </w:r>
          </w:p>
        </w:tc>
      </w:tr>
      <w:tr w:rsidR="00B34113" w:rsidRPr="00A55423" w:rsidTr="00C43315">
        <w:trPr>
          <w:trHeight w:val="263"/>
        </w:trPr>
        <w:tc>
          <w:tcPr>
            <w:tcW w:w="1575" w:type="dxa"/>
            <w:tcBorders>
              <w:top w:val="nil"/>
              <w:left w:val="single" w:sz="8" w:space="0" w:color="FFFFFF"/>
              <w:bottom w:val="single" w:sz="8" w:space="0" w:color="FFFFFF"/>
              <w:right w:val="single" w:sz="12" w:space="0" w:color="FFFFFF"/>
            </w:tcBorders>
            <w:shd w:val="clear" w:color="000000" w:fill="95B3D7"/>
            <w:vAlign w:val="center"/>
            <w:hideMark/>
          </w:tcPr>
          <w:p w:rsidR="00B34113" w:rsidRPr="00A55423" w:rsidRDefault="00B34113" w:rsidP="00C43315">
            <w:pPr>
              <w:spacing w:after="0" w:line="240" w:lineRule="auto"/>
              <w:rPr>
                <w:rFonts w:ascii="Times New Roman" w:eastAsia="Times New Roman" w:hAnsi="Times New Roman"/>
                <w:b/>
                <w:bCs/>
                <w:color w:val="000000"/>
                <w:sz w:val="16"/>
                <w:szCs w:val="16"/>
                <w:lang w:eastAsia="lv-LV"/>
              </w:rPr>
            </w:pPr>
            <w:r w:rsidRPr="00A55423">
              <w:rPr>
                <w:rFonts w:ascii="Times New Roman" w:eastAsia="Times New Roman" w:hAnsi="Times New Roman"/>
                <w:b/>
                <w:bCs/>
                <w:color w:val="000000"/>
                <w:sz w:val="16"/>
                <w:szCs w:val="16"/>
                <w:lang w:eastAsia="lv-LV"/>
              </w:rPr>
              <w:t>-apturētie parādi</w:t>
            </w:r>
          </w:p>
        </w:tc>
        <w:tc>
          <w:tcPr>
            <w:tcW w:w="1071" w:type="dxa"/>
            <w:tcBorders>
              <w:top w:val="single" w:sz="8" w:space="0" w:color="FFFFFF"/>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0,002</w:t>
            </w:r>
          </w:p>
        </w:tc>
        <w:tc>
          <w:tcPr>
            <w:tcW w:w="1071" w:type="dxa"/>
            <w:tcBorders>
              <w:top w:val="nil"/>
              <w:left w:val="nil"/>
              <w:bottom w:val="single" w:sz="8" w:space="0" w:color="FFFFFF"/>
              <w:right w:val="single" w:sz="8" w:space="0" w:color="FFFFFF"/>
            </w:tcBorders>
            <w:shd w:val="clear" w:color="000000" w:fill="DBE5F1"/>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0,002</w:t>
            </w:r>
          </w:p>
        </w:tc>
        <w:tc>
          <w:tcPr>
            <w:tcW w:w="1374"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0,00</w:t>
            </w:r>
          </w:p>
        </w:tc>
        <w:tc>
          <w:tcPr>
            <w:tcW w:w="626"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w:t>
            </w:r>
          </w:p>
        </w:tc>
        <w:tc>
          <w:tcPr>
            <w:tcW w:w="107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0,0003</w:t>
            </w:r>
          </w:p>
        </w:tc>
        <w:tc>
          <w:tcPr>
            <w:tcW w:w="1251"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-0,00</w:t>
            </w:r>
            <w:r>
              <w:rPr>
                <w:rFonts w:ascii="Times New Roman" w:eastAsia="Times New Roman" w:hAnsi="Times New Roman"/>
                <w:color w:val="000000"/>
                <w:sz w:val="16"/>
                <w:szCs w:val="16"/>
                <w:lang w:eastAsia="lv-LV"/>
              </w:rPr>
              <w:t>2</w:t>
            </w:r>
          </w:p>
        </w:tc>
        <w:tc>
          <w:tcPr>
            <w:tcW w:w="669" w:type="dxa"/>
            <w:tcBorders>
              <w:top w:val="nil"/>
              <w:left w:val="nil"/>
              <w:bottom w:val="single" w:sz="8" w:space="0" w:color="FFFFFF"/>
              <w:right w:val="single" w:sz="8" w:space="0" w:color="FFFFFF"/>
            </w:tcBorders>
            <w:shd w:val="clear" w:color="000000" w:fill="DBE5F1"/>
            <w:noWrap/>
            <w:vAlign w:val="center"/>
            <w:hideMark/>
          </w:tcPr>
          <w:p w:rsidR="00B34113" w:rsidRPr="00A55423" w:rsidRDefault="00B34113" w:rsidP="00C43315">
            <w:pPr>
              <w:spacing w:after="0" w:line="240" w:lineRule="auto"/>
              <w:jc w:val="center"/>
              <w:rPr>
                <w:rFonts w:ascii="Times New Roman" w:eastAsia="Times New Roman" w:hAnsi="Times New Roman"/>
                <w:color w:val="000000"/>
                <w:sz w:val="16"/>
                <w:szCs w:val="16"/>
                <w:lang w:eastAsia="lv-LV"/>
              </w:rPr>
            </w:pPr>
            <w:r w:rsidRPr="00A55423">
              <w:rPr>
                <w:rFonts w:ascii="Times New Roman" w:eastAsia="Times New Roman" w:hAnsi="Times New Roman"/>
                <w:color w:val="000000"/>
                <w:sz w:val="16"/>
                <w:szCs w:val="16"/>
                <w:lang w:eastAsia="lv-LV"/>
              </w:rPr>
              <w:t>-85,0</w:t>
            </w:r>
          </w:p>
        </w:tc>
      </w:tr>
    </w:tbl>
    <w:p w:rsidR="00B34113" w:rsidRPr="00903810" w:rsidRDefault="00B34113" w:rsidP="00B34113">
      <w:pPr>
        <w:spacing w:after="0" w:line="240" w:lineRule="auto"/>
        <w:ind w:firstLine="567"/>
        <w:jc w:val="both"/>
        <w:rPr>
          <w:rFonts w:ascii="Times New Roman" w:hAnsi="Times New Roman"/>
          <w:bCs/>
          <w:iCs/>
          <w:color w:val="000000"/>
          <w:sz w:val="28"/>
          <w:szCs w:val="28"/>
        </w:rPr>
      </w:pPr>
    </w:p>
    <w:p w:rsidR="00283192" w:rsidRPr="00AF4318" w:rsidRDefault="00283192" w:rsidP="00B34113">
      <w:pPr>
        <w:spacing w:after="0" w:line="240" w:lineRule="auto"/>
        <w:ind w:firstLine="720"/>
        <w:jc w:val="both"/>
        <w:rPr>
          <w:rFonts w:ascii="Times New Roman" w:hAnsi="Times New Roman"/>
          <w:bCs/>
          <w:iCs/>
          <w:color w:val="000000"/>
          <w:sz w:val="26"/>
          <w:szCs w:val="26"/>
        </w:rPr>
      </w:pPr>
      <w:r w:rsidRPr="00AF4318">
        <w:rPr>
          <w:rFonts w:ascii="Times New Roman" w:hAnsi="Times New Roman"/>
          <w:bCs/>
          <w:iCs/>
          <w:color w:val="000000"/>
          <w:sz w:val="26"/>
          <w:szCs w:val="26"/>
        </w:rPr>
        <w:t>31,2% no visiem nozares nodokļu maksātājiem kopējais parāds u</w:t>
      </w:r>
      <w:r w:rsidR="00B34113" w:rsidRPr="00AF4318">
        <w:rPr>
          <w:rFonts w:ascii="Times New Roman" w:hAnsi="Times New Roman"/>
          <w:bCs/>
          <w:iCs/>
          <w:color w:val="000000"/>
          <w:sz w:val="26"/>
          <w:szCs w:val="26"/>
        </w:rPr>
        <w:t>z 2013.gada 1.septembri</w:t>
      </w:r>
      <w:r w:rsidRPr="00AF4318">
        <w:rPr>
          <w:rFonts w:ascii="Times New Roman" w:hAnsi="Times New Roman"/>
          <w:bCs/>
          <w:iCs/>
          <w:color w:val="000000"/>
          <w:sz w:val="26"/>
          <w:szCs w:val="26"/>
        </w:rPr>
        <w:t xml:space="preserve"> ir robežās no 10 līdz 100 latiem.</w:t>
      </w:r>
    </w:p>
    <w:p w:rsidR="00B34113" w:rsidRDefault="00AF4318" w:rsidP="00B34113">
      <w:pPr>
        <w:spacing w:after="0" w:line="240" w:lineRule="auto"/>
        <w:ind w:firstLine="720"/>
        <w:jc w:val="both"/>
        <w:rPr>
          <w:rFonts w:ascii="Times New Roman" w:hAnsi="Times New Roman"/>
          <w:bCs/>
          <w:iCs/>
          <w:color w:val="000000"/>
          <w:sz w:val="26"/>
          <w:szCs w:val="26"/>
        </w:rPr>
      </w:pPr>
      <w:r w:rsidRPr="00AF4318">
        <w:rPr>
          <w:rFonts w:ascii="Times New Roman" w:hAnsi="Times New Roman"/>
          <w:bCs/>
          <w:iCs/>
          <w:color w:val="000000"/>
          <w:sz w:val="26"/>
          <w:szCs w:val="26"/>
        </w:rPr>
        <w:t>87,7</w:t>
      </w:r>
      <w:r w:rsidR="00B34113" w:rsidRPr="00AF4318">
        <w:rPr>
          <w:rFonts w:ascii="Times New Roman" w:hAnsi="Times New Roman"/>
          <w:bCs/>
          <w:iCs/>
          <w:color w:val="000000"/>
          <w:sz w:val="26"/>
          <w:szCs w:val="26"/>
        </w:rPr>
        <w:t>% no nodokļu parādniekiem nodokļu parāds nepārsniedz 1 tūkst. latu.</w:t>
      </w:r>
    </w:p>
    <w:p w:rsidR="00A42897" w:rsidRPr="00AF4318" w:rsidRDefault="00A42897" w:rsidP="00B34113">
      <w:pPr>
        <w:spacing w:after="0" w:line="240" w:lineRule="auto"/>
        <w:ind w:firstLine="720"/>
        <w:jc w:val="both"/>
        <w:rPr>
          <w:rFonts w:ascii="Times New Roman" w:hAnsi="Times New Roman"/>
          <w:bCs/>
          <w:iCs/>
          <w:color w:val="000000"/>
          <w:sz w:val="26"/>
          <w:szCs w:val="26"/>
        </w:rPr>
      </w:pPr>
    </w:p>
    <w:p w:rsidR="00B34113" w:rsidRPr="00903810" w:rsidRDefault="00AF4318" w:rsidP="00F54EA2">
      <w:pPr>
        <w:spacing w:after="0" w:line="240" w:lineRule="auto"/>
        <w:rPr>
          <w:rFonts w:ascii="Times New Roman" w:eastAsia="Times New Roman" w:hAnsi="Times New Roman"/>
          <w:b/>
          <w:bCs/>
          <w:noProof/>
          <w:sz w:val="28"/>
          <w:szCs w:val="28"/>
        </w:rPr>
      </w:pPr>
      <w:r>
        <w:rPr>
          <w:rFonts w:ascii="Times New Roman" w:eastAsia="Times New Roman" w:hAnsi="Times New Roman"/>
          <w:b/>
          <w:bCs/>
          <w:noProof/>
          <w:sz w:val="28"/>
          <w:szCs w:val="28"/>
        </w:rPr>
        <w:t>8</w:t>
      </w:r>
      <w:r w:rsidR="00B34113" w:rsidRPr="00903810">
        <w:rPr>
          <w:rFonts w:ascii="Times New Roman" w:eastAsia="Times New Roman" w:hAnsi="Times New Roman"/>
          <w:b/>
          <w:bCs/>
          <w:noProof/>
          <w:sz w:val="28"/>
          <w:szCs w:val="28"/>
        </w:rPr>
        <w:t>. Nodokļu samaksas termiņa pagarinājumi</w:t>
      </w:r>
    </w:p>
    <w:p w:rsidR="00B34113" w:rsidRPr="00A42897" w:rsidRDefault="00B34113" w:rsidP="00B34113">
      <w:pPr>
        <w:spacing w:after="0" w:line="240" w:lineRule="auto"/>
        <w:ind w:firstLine="720"/>
        <w:jc w:val="both"/>
        <w:rPr>
          <w:rFonts w:ascii="Times New Roman" w:hAnsi="Times New Roman"/>
          <w:sz w:val="26"/>
          <w:szCs w:val="26"/>
        </w:rPr>
      </w:pPr>
      <w:r w:rsidRPr="00A42897">
        <w:rPr>
          <w:rFonts w:ascii="Times New Roman" w:hAnsi="Times New Roman"/>
          <w:sz w:val="26"/>
          <w:szCs w:val="26"/>
        </w:rPr>
        <w:t xml:space="preserve">2013.gada </w:t>
      </w:r>
      <w:r w:rsidR="00A42897" w:rsidRPr="00A42897">
        <w:rPr>
          <w:rFonts w:ascii="Times New Roman" w:hAnsi="Times New Roman"/>
          <w:sz w:val="26"/>
          <w:szCs w:val="26"/>
        </w:rPr>
        <w:t>deviņos</w:t>
      </w:r>
      <w:r w:rsidRPr="00A42897">
        <w:rPr>
          <w:rFonts w:ascii="Times New Roman" w:hAnsi="Times New Roman"/>
          <w:sz w:val="26"/>
          <w:szCs w:val="26"/>
        </w:rPr>
        <w:t xml:space="preserve"> mēnešos 10 zobārstu prakses nodokļu maksātājiem piešķirti 15 termiņa pagarinājumi par kopējo summu 0,03  milj. latu, savukārt 2012.gadā 9 nodokļu maksātājiem piešķirti 16 termiņa pagarinājumi par kopējo summu 0,03 milj. latu </w:t>
      </w:r>
      <w:r w:rsidRPr="00A42897">
        <w:rPr>
          <w:rFonts w:ascii="Times New Roman" w:hAnsi="Times New Roman"/>
          <w:i/>
          <w:sz w:val="26"/>
          <w:szCs w:val="26"/>
        </w:rPr>
        <w:t>(skatīt 1</w:t>
      </w:r>
      <w:r w:rsidR="00A42897">
        <w:rPr>
          <w:rFonts w:ascii="Times New Roman" w:hAnsi="Times New Roman"/>
          <w:i/>
          <w:sz w:val="26"/>
          <w:szCs w:val="26"/>
        </w:rPr>
        <w:t>1</w:t>
      </w:r>
      <w:r w:rsidRPr="00A42897">
        <w:rPr>
          <w:rFonts w:ascii="Times New Roman" w:hAnsi="Times New Roman"/>
          <w:i/>
          <w:sz w:val="26"/>
          <w:szCs w:val="26"/>
        </w:rPr>
        <w:t>.tabulu).</w:t>
      </w:r>
    </w:p>
    <w:p w:rsidR="00B34113" w:rsidRPr="00A42897" w:rsidRDefault="00B34113" w:rsidP="00B34113">
      <w:pPr>
        <w:spacing w:after="0" w:line="240" w:lineRule="auto"/>
        <w:ind w:firstLine="720"/>
        <w:jc w:val="right"/>
        <w:rPr>
          <w:rFonts w:ascii="Times New Roman" w:hAnsi="Times New Roman"/>
          <w:i/>
          <w:sz w:val="26"/>
          <w:szCs w:val="26"/>
        </w:rPr>
      </w:pPr>
    </w:p>
    <w:p w:rsidR="00F54EA2" w:rsidRDefault="00F54EA2">
      <w:pPr>
        <w:spacing w:after="0" w:line="240" w:lineRule="auto"/>
        <w:rPr>
          <w:rFonts w:ascii="Times New Roman" w:hAnsi="Times New Roman"/>
          <w:sz w:val="26"/>
          <w:szCs w:val="26"/>
        </w:rPr>
      </w:pPr>
      <w:r>
        <w:rPr>
          <w:rFonts w:ascii="Times New Roman" w:hAnsi="Times New Roman"/>
          <w:sz w:val="26"/>
          <w:szCs w:val="26"/>
        </w:rPr>
        <w:br w:type="page"/>
      </w:r>
    </w:p>
    <w:p w:rsidR="00B34113" w:rsidRPr="00A42897" w:rsidRDefault="00B34113" w:rsidP="00B34113">
      <w:pPr>
        <w:spacing w:after="0" w:line="240" w:lineRule="auto"/>
        <w:ind w:firstLine="720"/>
        <w:jc w:val="right"/>
        <w:rPr>
          <w:rFonts w:ascii="Times New Roman" w:hAnsi="Times New Roman"/>
          <w:sz w:val="26"/>
          <w:szCs w:val="26"/>
        </w:rPr>
      </w:pPr>
      <w:bookmarkStart w:id="0" w:name="_GoBack"/>
      <w:bookmarkEnd w:id="0"/>
      <w:r w:rsidRPr="00A42897">
        <w:rPr>
          <w:rFonts w:ascii="Times New Roman" w:hAnsi="Times New Roman"/>
          <w:sz w:val="26"/>
          <w:szCs w:val="26"/>
        </w:rPr>
        <w:lastRenderedPageBreak/>
        <w:t>1</w:t>
      </w:r>
      <w:r w:rsidR="00A42897">
        <w:rPr>
          <w:rFonts w:ascii="Times New Roman" w:hAnsi="Times New Roman"/>
          <w:sz w:val="26"/>
          <w:szCs w:val="26"/>
        </w:rPr>
        <w:t>1</w:t>
      </w:r>
      <w:r w:rsidRPr="00A42897">
        <w:rPr>
          <w:rFonts w:ascii="Times New Roman" w:hAnsi="Times New Roman"/>
          <w:sz w:val="26"/>
          <w:szCs w:val="26"/>
        </w:rPr>
        <w:t>.tabula</w:t>
      </w:r>
    </w:p>
    <w:p w:rsidR="00B34113" w:rsidRPr="00A42897" w:rsidRDefault="00B34113" w:rsidP="00B34113">
      <w:pPr>
        <w:spacing w:after="0" w:line="240" w:lineRule="auto"/>
        <w:ind w:firstLine="720"/>
        <w:jc w:val="center"/>
        <w:rPr>
          <w:rFonts w:ascii="Times New Roman" w:hAnsi="Times New Roman"/>
          <w:b/>
          <w:sz w:val="26"/>
          <w:szCs w:val="26"/>
        </w:rPr>
      </w:pPr>
      <w:r w:rsidRPr="00A42897">
        <w:rPr>
          <w:rFonts w:ascii="Times New Roman" w:hAnsi="Times New Roman"/>
          <w:b/>
          <w:sz w:val="26"/>
          <w:szCs w:val="26"/>
        </w:rPr>
        <w:t>Piešķirto termiņa pagarinājumu summas, skaita un nodokļu maksātāju dinamika no 2011. līdz 2013.gadam</w:t>
      </w:r>
    </w:p>
    <w:p w:rsidR="00B34113" w:rsidRPr="00903810" w:rsidRDefault="00B34113" w:rsidP="00B34113">
      <w:pPr>
        <w:spacing w:after="0" w:line="240" w:lineRule="auto"/>
        <w:ind w:firstLine="720"/>
        <w:jc w:val="center"/>
        <w:rPr>
          <w:rFonts w:ascii="Times New Roman" w:hAnsi="Times New Roman"/>
          <w:b/>
          <w:sz w:val="28"/>
          <w:szCs w:val="28"/>
        </w:rPr>
      </w:pPr>
    </w:p>
    <w:tbl>
      <w:tblPr>
        <w:tblW w:w="8946" w:type="dxa"/>
        <w:tblInd w:w="93" w:type="dxa"/>
        <w:tblLook w:val="04A0" w:firstRow="1" w:lastRow="0" w:firstColumn="1" w:lastColumn="0" w:noHBand="0" w:noVBand="1"/>
      </w:tblPr>
      <w:tblGrid>
        <w:gridCol w:w="1716"/>
        <w:gridCol w:w="1843"/>
        <w:gridCol w:w="2552"/>
        <w:gridCol w:w="2835"/>
      </w:tblGrid>
      <w:tr w:rsidR="00B34113" w:rsidRPr="00903810" w:rsidTr="00C43315">
        <w:trPr>
          <w:trHeight w:val="645"/>
        </w:trPr>
        <w:tc>
          <w:tcPr>
            <w:tcW w:w="1716" w:type="dxa"/>
            <w:tcBorders>
              <w:top w:val="nil"/>
              <w:left w:val="nil"/>
              <w:bottom w:val="single" w:sz="8" w:space="0" w:color="FFFFFF"/>
              <w:right w:val="single" w:sz="8" w:space="0" w:color="FFFFFF"/>
            </w:tcBorders>
            <w:shd w:val="clear" w:color="000000" w:fill="95B3D7"/>
            <w:vAlign w:val="center"/>
            <w:hideMark/>
          </w:tcPr>
          <w:p w:rsidR="00B34113" w:rsidRPr="00903810" w:rsidRDefault="00B34113" w:rsidP="00C43315">
            <w:pPr>
              <w:spacing w:after="0" w:line="240" w:lineRule="auto"/>
              <w:jc w:val="center"/>
              <w:rPr>
                <w:rFonts w:ascii="Times New Roman" w:eastAsia="Times New Roman" w:hAnsi="Times New Roman"/>
                <w:b/>
                <w:bCs/>
                <w:color w:val="000000"/>
                <w:sz w:val="18"/>
                <w:szCs w:val="18"/>
                <w:lang w:eastAsia="lv-LV"/>
              </w:rPr>
            </w:pPr>
            <w:r w:rsidRPr="00903810">
              <w:rPr>
                <w:rFonts w:ascii="Times New Roman" w:eastAsia="Times New Roman" w:hAnsi="Times New Roman"/>
                <w:b/>
                <w:bCs/>
                <w:color w:val="000000"/>
                <w:sz w:val="18"/>
                <w:szCs w:val="18"/>
                <w:lang w:eastAsia="lv-LV"/>
              </w:rPr>
              <w:t>Gads</w:t>
            </w:r>
          </w:p>
        </w:tc>
        <w:tc>
          <w:tcPr>
            <w:tcW w:w="1843" w:type="dxa"/>
            <w:tcBorders>
              <w:top w:val="nil"/>
              <w:left w:val="nil"/>
              <w:bottom w:val="single" w:sz="8" w:space="0" w:color="FFFFFF"/>
              <w:right w:val="single" w:sz="8" w:space="0" w:color="FFFFFF"/>
            </w:tcBorders>
            <w:shd w:val="clear" w:color="000000" w:fill="95B3D7"/>
            <w:vAlign w:val="center"/>
            <w:hideMark/>
          </w:tcPr>
          <w:p w:rsidR="00B34113" w:rsidRPr="00903810" w:rsidRDefault="00B34113" w:rsidP="00C43315">
            <w:pPr>
              <w:spacing w:after="0" w:line="240" w:lineRule="auto"/>
              <w:jc w:val="center"/>
              <w:rPr>
                <w:rFonts w:ascii="Times New Roman" w:eastAsia="Times New Roman" w:hAnsi="Times New Roman"/>
                <w:b/>
                <w:bCs/>
                <w:color w:val="000000"/>
                <w:sz w:val="18"/>
                <w:szCs w:val="18"/>
                <w:lang w:eastAsia="lv-LV"/>
              </w:rPr>
            </w:pPr>
            <w:r w:rsidRPr="00903810">
              <w:rPr>
                <w:rFonts w:ascii="Times New Roman" w:eastAsia="Times New Roman" w:hAnsi="Times New Roman"/>
                <w:b/>
                <w:bCs/>
                <w:color w:val="000000"/>
                <w:sz w:val="18"/>
                <w:szCs w:val="18"/>
                <w:lang w:eastAsia="lv-LV"/>
              </w:rPr>
              <w:t>NM skaits</w:t>
            </w:r>
          </w:p>
        </w:tc>
        <w:tc>
          <w:tcPr>
            <w:tcW w:w="2552" w:type="dxa"/>
            <w:tcBorders>
              <w:top w:val="nil"/>
              <w:left w:val="nil"/>
              <w:bottom w:val="single" w:sz="8" w:space="0" w:color="FFFFFF"/>
              <w:right w:val="single" w:sz="8" w:space="0" w:color="FFFFFF"/>
            </w:tcBorders>
            <w:shd w:val="clear" w:color="000000" w:fill="95B3D7"/>
            <w:vAlign w:val="center"/>
            <w:hideMark/>
          </w:tcPr>
          <w:p w:rsidR="00B34113" w:rsidRPr="00903810" w:rsidRDefault="00B34113" w:rsidP="00C43315">
            <w:pPr>
              <w:spacing w:after="0" w:line="240" w:lineRule="auto"/>
              <w:jc w:val="center"/>
              <w:rPr>
                <w:rFonts w:ascii="Times New Roman" w:eastAsia="Times New Roman" w:hAnsi="Times New Roman"/>
                <w:b/>
                <w:bCs/>
                <w:color w:val="000000"/>
                <w:sz w:val="16"/>
                <w:szCs w:val="16"/>
                <w:lang w:eastAsia="lv-LV"/>
              </w:rPr>
            </w:pPr>
            <w:r w:rsidRPr="00903810">
              <w:rPr>
                <w:rFonts w:ascii="Times New Roman" w:eastAsia="Times New Roman" w:hAnsi="Times New Roman"/>
                <w:b/>
                <w:bCs/>
                <w:color w:val="000000"/>
                <w:sz w:val="16"/>
                <w:szCs w:val="16"/>
                <w:lang w:eastAsia="lv-LV"/>
              </w:rPr>
              <w:t>Piešķirtā TP summa, milj. latu</w:t>
            </w:r>
          </w:p>
        </w:tc>
        <w:tc>
          <w:tcPr>
            <w:tcW w:w="2835" w:type="dxa"/>
            <w:tcBorders>
              <w:top w:val="nil"/>
              <w:left w:val="nil"/>
              <w:bottom w:val="single" w:sz="8" w:space="0" w:color="FFFFFF"/>
              <w:right w:val="single" w:sz="8" w:space="0" w:color="FFFFFF"/>
            </w:tcBorders>
            <w:shd w:val="clear" w:color="000000" w:fill="95B3D7"/>
            <w:vAlign w:val="center"/>
            <w:hideMark/>
          </w:tcPr>
          <w:p w:rsidR="00B34113" w:rsidRPr="00903810" w:rsidRDefault="00B34113" w:rsidP="003E761D">
            <w:pPr>
              <w:spacing w:after="0" w:line="240" w:lineRule="auto"/>
              <w:jc w:val="center"/>
              <w:rPr>
                <w:rFonts w:ascii="Times New Roman" w:eastAsia="Times New Roman" w:hAnsi="Times New Roman"/>
                <w:b/>
                <w:bCs/>
                <w:color w:val="000000"/>
                <w:sz w:val="18"/>
                <w:szCs w:val="18"/>
                <w:lang w:eastAsia="lv-LV"/>
              </w:rPr>
            </w:pPr>
            <w:r w:rsidRPr="00903810">
              <w:rPr>
                <w:rFonts w:ascii="Times New Roman" w:eastAsia="Times New Roman" w:hAnsi="Times New Roman"/>
                <w:b/>
                <w:bCs/>
                <w:color w:val="000000"/>
                <w:sz w:val="18"/>
                <w:szCs w:val="18"/>
                <w:lang w:eastAsia="lv-LV"/>
              </w:rPr>
              <w:t>TP skaits</w:t>
            </w:r>
          </w:p>
        </w:tc>
      </w:tr>
      <w:tr w:rsidR="00B34113" w:rsidRPr="00903810" w:rsidTr="00C43315">
        <w:trPr>
          <w:trHeight w:val="270"/>
        </w:trPr>
        <w:tc>
          <w:tcPr>
            <w:tcW w:w="1716" w:type="dxa"/>
            <w:tcBorders>
              <w:top w:val="nil"/>
              <w:left w:val="single" w:sz="8" w:space="0" w:color="FFFFFF"/>
              <w:bottom w:val="nil"/>
              <w:right w:val="single" w:sz="12" w:space="0" w:color="FFFFFF"/>
            </w:tcBorders>
            <w:shd w:val="clear" w:color="000000" w:fill="95B3D7"/>
            <w:vAlign w:val="center"/>
            <w:hideMark/>
          </w:tcPr>
          <w:p w:rsidR="00B34113" w:rsidRPr="00903810" w:rsidRDefault="00B34113" w:rsidP="003E761D">
            <w:pPr>
              <w:spacing w:after="0" w:line="240" w:lineRule="auto"/>
              <w:jc w:val="center"/>
              <w:rPr>
                <w:rFonts w:ascii="Times New Roman" w:eastAsia="Times New Roman" w:hAnsi="Times New Roman"/>
                <w:color w:val="000000"/>
                <w:sz w:val="16"/>
                <w:szCs w:val="16"/>
                <w:lang w:eastAsia="lv-LV"/>
              </w:rPr>
            </w:pPr>
            <w:r w:rsidRPr="00903810">
              <w:rPr>
                <w:rFonts w:ascii="Times New Roman" w:eastAsia="Times New Roman" w:hAnsi="Times New Roman"/>
                <w:color w:val="000000"/>
                <w:sz w:val="16"/>
                <w:szCs w:val="16"/>
                <w:lang w:eastAsia="lv-LV"/>
              </w:rPr>
              <w:t>2011.gads</w:t>
            </w:r>
          </w:p>
        </w:tc>
        <w:tc>
          <w:tcPr>
            <w:tcW w:w="1843"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4</w:t>
            </w:r>
          </w:p>
        </w:tc>
        <w:tc>
          <w:tcPr>
            <w:tcW w:w="2552"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0,01</w:t>
            </w:r>
          </w:p>
        </w:tc>
        <w:tc>
          <w:tcPr>
            <w:tcW w:w="2835"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10</w:t>
            </w:r>
          </w:p>
        </w:tc>
      </w:tr>
      <w:tr w:rsidR="00B34113" w:rsidRPr="00903810" w:rsidTr="00C43315">
        <w:trPr>
          <w:trHeight w:val="270"/>
        </w:trPr>
        <w:tc>
          <w:tcPr>
            <w:tcW w:w="1716" w:type="dxa"/>
            <w:tcBorders>
              <w:top w:val="single" w:sz="8" w:space="0" w:color="FFFFFF"/>
              <w:left w:val="single" w:sz="8" w:space="0" w:color="FFFFFF"/>
              <w:bottom w:val="nil"/>
              <w:right w:val="single" w:sz="12" w:space="0" w:color="FFFFFF"/>
            </w:tcBorders>
            <w:shd w:val="clear" w:color="000000" w:fill="95B3D7"/>
            <w:vAlign w:val="center"/>
            <w:hideMark/>
          </w:tcPr>
          <w:p w:rsidR="00B34113" w:rsidRPr="00903810" w:rsidRDefault="00B34113" w:rsidP="003E761D">
            <w:pPr>
              <w:spacing w:after="0" w:line="240" w:lineRule="auto"/>
              <w:jc w:val="center"/>
              <w:rPr>
                <w:rFonts w:ascii="Times New Roman" w:eastAsia="Times New Roman" w:hAnsi="Times New Roman"/>
                <w:color w:val="000000"/>
                <w:sz w:val="16"/>
                <w:szCs w:val="16"/>
                <w:lang w:eastAsia="lv-LV"/>
              </w:rPr>
            </w:pPr>
            <w:r w:rsidRPr="00903810">
              <w:rPr>
                <w:rFonts w:ascii="Times New Roman" w:eastAsia="Times New Roman" w:hAnsi="Times New Roman"/>
                <w:color w:val="000000"/>
                <w:sz w:val="16"/>
                <w:szCs w:val="16"/>
                <w:lang w:eastAsia="lv-LV"/>
              </w:rPr>
              <w:t>2012.gads</w:t>
            </w:r>
          </w:p>
        </w:tc>
        <w:tc>
          <w:tcPr>
            <w:tcW w:w="1843"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9</w:t>
            </w:r>
          </w:p>
        </w:tc>
        <w:tc>
          <w:tcPr>
            <w:tcW w:w="2552"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0,03</w:t>
            </w:r>
          </w:p>
        </w:tc>
        <w:tc>
          <w:tcPr>
            <w:tcW w:w="2835"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16</w:t>
            </w:r>
          </w:p>
        </w:tc>
      </w:tr>
      <w:tr w:rsidR="00B34113" w:rsidRPr="00903810" w:rsidTr="00C43315">
        <w:trPr>
          <w:trHeight w:val="465"/>
        </w:trPr>
        <w:tc>
          <w:tcPr>
            <w:tcW w:w="1716" w:type="dxa"/>
            <w:tcBorders>
              <w:top w:val="single" w:sz="8" w:space="0" w:color="FFFFFF"/>
              <w:left w:val="single" w:sz="8" w:space="0" w:color="FFFFFF"/>
              <w:bottom w:val="nil"/>
              <w:right w:val="single" w:sz="12" w:space="0" w:color="FFFFFF"/>
            </w:tcBorders>
            <w:shd w:val="clear" w:color="000000" w:fill="95B3D7"/>
            <w:vAlign w:val="center"/>
            <w:hideMark/>
          </w:tcPr>
          <w:p w:rsidR="00B34113" w:rsidRPr="00903810" w:rsidRDefault="00B34113" w:rsidP="003E761D">
            <w:pPr>
              <w:spacing w:after="0" w:line="240" w:lineRule="auto"/>
              <w:jc w:val="center"/>
              <w:rPr>
                <w:rFonts w:ascii="Times New Roman" w:eastAsia="Times New Roman" w:hAnsi="Times New Roman"/>
                <w:color w:val="000000"/>
                <w:sz w:val="16"/>
                <w:szCs w:val="16"/>
                <w:lang w:eastAsia="lv-LV"/>
              </w:rPr>
            </w:pPr>
            <w:r w:rsidRPr="00903810">
              <w:rPr>
                <w:rFonts w:ascii="Times New Roman" w:eastAsia="Times New Roman" w:hAnsi="Times New Roman"/>
                <w:color w:val="000000"/>
                <w:sz w:val="16"/>
                <w:szCs w:val="16"/>
                <w:lang w:eastAsia="lv-LV"/>
              </w:rPr>
              <w:t>2013.gada 9 mēnešos</w:t>
            </w:r>
          </w:p>
        </w:tc>
        <w:tc>
          <w:tcPr>
            <w:tcW w:w="1843"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10</w:t>
            </w:r>
          </w:p>
        </w:tc>
        <w:tc>
          <w:tcPr>
            <w:tcW w:w="2552"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0,03</w:t>
            </w:r>
          </w:p>
        </w:tc>
        <w:tc>
          <w:tcPr>
            <w:tcW w:w="2835" w:type="dxa"/>
            <w:tcBorders>
              <w:top w:val="nil"/>
              <w:left w:val="nil"/>
              <w:bottom w:val="single" w:sz="8" w:space="0" w:color="FFFFFF"/>
              <w:right w:val="single" w:sz="8" w:space="0" w:color="FFFFFF"/>
            </w:tcBorders>
            <w:shd w:val="clear" w:color="000000" w:fill="DBE5F1"/>
            <w:vAlign w:val="center"/>
            <w:hideMark/>
          </w:tcPr>
          <w:p w:rsidR="00B34113" w:rsidRPr="00903810" w:rsidRDefault="00B34113" w:rsidP="003E761D">
            <w:pPr>
              <w:spacing w:after="0" w:line="240" w:lineRule="auto"/>
              <w:jc w:val="center"/>
              <w:rPr>
                <w:rFonts w:ascii="Times New Roman" w:eastAsia="Times New Roman" w:hAnsi="Times New Roman"/>
                <w:color w:val="000000"/>
                <w:sz w:val="20"/>
                <w:szCs w:val="20"/>
                <w:lang w:eastAsia="lv-LV"/>
              </w:rPr>
            </w:pPr>
            <w:r w:rsidRPr="00903810">
              <w:rPr>
                <w:rFonts w:ascii="Times New Roman" w:eastAsia="Times New Roman" w:hAnsi="Times New Roman"/>
                <w:color w:val="000000"/>
                <w:sz w:val="20"/>
                <w:szCs w:val="20"/>
                <w:lang w:eastAsia="lv-LV"/>
              </w:rPr>
              <w:t>15</w:t>
            </w:r>
          </w:p>
        </w:tc>
      </w:tr>
    </w:tbl>
    <w:p w:rsidR="00B34113" w:rsidRPr="00903810" w:rsidRDefault="00B34113" w:rsidP="00B34113">
      <w:pPr>
        <w:spacing w:after="0" w:line="240" w:lineRule="auto"/>
        <w:ind w:firstLine="720"/>
        <w:jc w:val="both"/>
        <w:rPr>
          <w:rFonts w:ascii="Times New Roman" w:hAnsi="Times New Roman"/>
          <w:bCs/>
          <w:i/>
          <w:sz w:val="28"/>
          <w:szCs w:val="28"/>
          <w:highlight w:val="green"/>
        </w:rPr>
      </w:pPr>
    </w:p>
    <w:p w:rsidR="00B34113" w:rsidRPr="003E761D" w:rsidRDefault="003E761D" w:rsidP="00B34113">
      <w:pPr>
        <w:spacing w:after="0" w:line="240" w:lineRule="auto"/>
        <w:ind w:firstLine="720"/>
        <w:jc w:val="both"/>
        <w:rPr>
          <w:rFonts w:ascii="Times New Roman" w:hAnsi="Times New Roman"/>
          <w:iCs/>
          <w:sz w:val="26"/>
          <w:szCs w:val="26"/>
        </w:rPr>
      </w:pPr>
      <w:r>
        <w:rPr>
          <w:rFonts w:ascii="Times New Roman" w:hAnsi="Times New Roman"/>
          <w:iCs/>
          <w:sz w:val="26"/>
          <w:szCs w:val="26"/>
        </w:rPr>
        <w:t>2013.gada deviņos mēnešos 60,1%</w:t>
      </w:r>
      <w:r w:rsidR="00B34113" w:rsidRPr="003E761D">
        <w:rPr>
          <w:rFonts w:ascii="Times New Roman" w:hAnsi="Times New Roman"/>
          <w:iCs/>
          <w:sz w:val="26"/>
          <w:szCs w:val="26"/>
        </w:rPr>
        <w:t xml:space="preserve"> no </w:t>
      </w:r>
      <w:r w:rsidR="00B34113" w:rsidRPr="003E761D">
        <w:rPr>
          <w:rFonts w:ascii="Times New Roman" w:hAnsi="Times New Roman"/>
          <w:sz w:val="26"/>
          <w:szCs w:val="26"/>
        </w:rPr>
        <w:t>zobārstu prakses</w:t>
      </w:r>
      <w:r w:rsidR="00B34113" w:rsidRPr="003E761D">
        <w:rPr>
          <w:rFonts w:ascii="Times New Roman" w:hAnsi="Times New Roman"/>
          <w:iCs/>
          <w:sz w:val="26"/>
          <w:szCs w:val="26"/>
        </w:rPr>
        <w:t xml:space="preserve"> nodokļu maksātājiem piešķirtajiem termiņa pagarinājumiem ir piešķirti UIN, savukārt 2012.gadā nebija piešķirti termiņa pagarinājumi UIN</w:t>
      </w:r>
      <w:r>
        <w:rPr>
          <w:rFonts w:ascii="Times New Roman" w:hAnsi="Times New Roman"/>
          <w:iCs/>
          <w:sz w:val="26"/>
          <w:szCs w:val="26"/>
        </w:rPr>
        <w:t>.</w:t>
      </w:r>
    </w:p>
    <w:p w:rsidR="00B34113" w:rsidRPr="003E761D" w:rsidRDefault="00B34113" w:rsidP="00B34113">
      <w:pPr>
        <w:spacing w:after="0" w:line="240" w:lineRule="auto"/>
        <w:ind w:firstLine="720"/>
        <w:jc w:val="both"/>
        <w:rPr>
          <w:rFonts w:ascii="Times New Roman" w:hAnsi="Times New Roman"/>
          <w:iCs/>
          <w:sz w:val="26"/>
          <w:szCs w:val="26"/>
        </w:rPr>
      </w:pPr>
      <w:r w:rsidRPr="003E761D">
        <w:rPr>
          <w:rFonts w:ascii="Times New Roman" w:hAnsi="Times New Roman"/>
          <w:iCs/>
          <w:sz w:val="26"/>
          <w:szCs w:val="26"/>
        </w:rPr>
        <w:t>Otra lielākā piešķirto termiņa pagarinājumu summa ir VSAOI, un 2013.gada deviņos mēnešos nodokļu maksātājiem piešķirti VSAOI termiņa pagarinājumi par 0,01 milj. latu jeb 30,0% no kopējās nozarē piešķirtās termiņa pagarinājumu summas. Tāpat 2012.gadā VSAOI termiņa pagarinājumi tika piešķirti 0,01 milj. latu apmērā jeb 31,2 % no kopējās nozarē piešķirto termiņa pagarinājumu summas. 2013.gada deviņos mēnešos VSAOI termiņa pagarinājumus saņēmušo nodokļu maksātāju skaits ir samazinājies, salīdzinot ar iepriekšējo gadu</w:t>
      </w:r>
      <w:r w:rsidR="006627C8">
        <w:rPr>
          <w:rFonts w:ascii="Times New Roman" w:hAnsi="Times New Roman"/>
          <w:iCs/>
          <w:sz w:val="26"/>
          <w:szCs w:val="26"/>
        </w:rPr>
        <w:t>.</w:t>
      </w:r>
    </w:p>
    <w:p w:rsidR="00B34113" w:rsidRPr="00903810" w:rsidRDefault="00B34113" w:rsidP="00B34113">
      <w:pPr>
        <w:spacing w:after="0" w:line="240" w:lineRule="auto"/>
        <w:ind w:firstLine="720"/>
        <w:jc w:val="both"/>
        <w:rPr>
          <w:rFonts w:ascii="Times New Roman" w:hAnsi="Times New Roman"/>
          <w:iCs/>
          <w:sz w:val="28"/>
          <w:szCs w:val="28"/>
          <w:highlight w:val="green"/>
        </w:rPr>
      </w:pPr>
    </w:p>
    <w:p w:rsidR="00B34113" w:rsidRPr="00903810" w:rsidRDefault="00B34113" w:rsidP="00B34113">
      <w:pPr>
        <w:spacing w:after="0" w:line="240" w:lineRule="auto"/>
        <w:rPr>
          <w:rFonts w:ascii="Times New Roman" w:eastAsiaTheme="minorHAnsi" w:hAnsi="Times New Roman" w:cstheme="minorBidi"/>
          <w:sz w:val="24"/>
        </w:rPr>
      </w:pPr>
    </w:p>
    <w:p w:rsidR="00B34113" w:rsidRPr="007D6D9F" w:rsidRDefault="00B34113" w:rsidP="00B34113">
      <w:pPr>
        <w:tabs>
          <w:tab w:val="left" w:pos="360"/>
          <w:tab w:val="left" w:pos="1080"/>
        </w:tabs>
        <w:spacing w:after="0" w:line="240" w:lineRule="auto"/>
        <w:rPr>
          <w:rFonts w:ascii="Times New Roman" w:hAnsi="Times New Roman"/>
          <w:b/>
          <w:sz w:val="28"/>
          <w:szCs w:val="28"/>
        </w:rPr>
      </w:pPr>
    </w:p>
    <w:p w:rsidR="00B34113" w:rsidRPr="00654F1F" w:rsidRDefault="00B34113" w:rsidP="00C5597B">
      <w:pPr>
        <w:ind w:firstLine="720"/>
        <w:rPr>
          <w:rFonts w:ascii="Times New Roman" w:hAnsi="Times New Roman"/>
        </w:rPr>
      </w:pPr>
    </w:p>
    <w:sectPr w:rsidR="00B34113" w:rsidRPr="00654F1F" w:rsidSect="006862C4">
      <w:pgSz w:w="11906" w:h="16838"/>
      <w:pgMar w:top="1134" w:right="170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5F9D"/>
    <w:multiLevelType w:val="hybridMultilevel"/>
    <w:tmpl w:val="332A2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BB"/>
    <w:rsid w:val="00103EDF"/>
    <w:rsid w:val="001941C4"/>
    <w:rsid w:val="00283192"/>
    <w:rsid w:val="003E761D"/>
    <w:rsid w:val="00436987"/>
    <w:rsid w:val="004F7DAA"/>
    <w:rsid w:val="005133F0"/>
    <w:rsid w:val="005A259E"/>
    <w:rsid w:val="00654F1F"/>
    <w:rsid w:val="006627C8"/>
    <w:rsid w:val="006862C4"/>
    <w:rsid w:val="006D561A"/>
    <w:rsid w:val="00715B8E"/>
    <w:rsid w:val="00761A92"/>
    <w:rsid w:val="007C5D3A"/>
    <w:rsid w:val="008314E5"/>
    <w:rsid w:val="009532F2"/>
    <w:rsid w:val="0096405A"/>
    <w:rsid w:val="009C50D2"/>
    <w:rsid w:val="009E4355"/>
    <w:rsid w:val="00A42897"/>
    <w:rsid w:val="00AF4318"/>
    <w:rsid w:val="00B02072"/>
    <w:rsid w:val="00B34113"/>
    <w:rsid w:val="00B83BAC"/>
    <w:rsid w:val="00B83CD6"/>
    <w:rsid w:val="00BE0176"/>
    <w:rsid w:val="00C43315"/>
    <w:rsid w:val="00C5597B"/>
    <w:rsid w:val="00C806BB"/>
    <w:rsid w:val="00DE4851"/>
    <w:rsid w:val="00E513CD"/>
    <w:rsid w:val="00F14323"/>
    <w:rsid w:val="00F54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B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BB"/>
    <w:pPr>
      <w:ind w:left="720"/>
      <w:contextualSpacing/>
    </w:pPr>
  </w:style>
  <w:style w:type="table" w:styleId="TableGrid">
    <w:name w:val="Table Grid"/>
    <w:basedOn w:val="TableNormal"/>
    <w:uiPriority w:val="59"/>
    <w:rsid w:val="0043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B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BB"/>
    <w:pPr>
      <w:ind w:left="720"/>
      <w:contextualSpacing/>
    </w:pPr>
  </w:style>
  <w:style w:type="table" w:styleId="TableGrid">
    <w:name w:val="Table Grid"/>
    <w:basedOn w:val="TableNormal"/>
    <w:uiPriority w:val="59"/>
    <w:rsid w:val="0043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1143">
      <w:bodyDiv w:val="1"/>
      <w:marLeft w:val="0"/>
      <w:marRight w:val="0"/>
      <w:marTop w:val="0"/>
      <w:marBottom w:val="0"/>
      <w:divBdr>
        <w:top w:val="none" w:sz="0" w:space="0" w:color="auto"/>
        <w:left w:val="none" w:sz="0" w:space="0" w:color="auto"/>
        <w:bottom w:val="none" w:sz="0" w:space="0" w:color="auto"/>
        <w:right w:val="none" w:sz="0" w:space="0" w:color="auto"/>
      </w:divBdr>
    </w:div>
    <w:div w:id="574359467">
      <w:bodyDiv w:val="1"/>
      <w:marLeft w:val="0"/>
      <w:marRight w:val="0"/>
      <w:marTop w:val="0"/>
      <w:marBottom w:val="0"/>
      <w:divBdr>
        <w:top w:val="none" w:sz="0" w:space="0" w:color="auto"/>
        <w:left w:val="none" w:sz="0" w:space="0" w:color="auto"/>
        <w:bottom w:val="none" w:sz="0" w:space="0" w:color="auto"/>
        <w:right w:val="none" w:sz="0" w:space="0" w:color="auto"/>
      </w:divBdr>
    </w:div>
    <w:div w:id="647710798">
      <w:bodyDiv w:val="1"/>
      <w:marLeft w:val="0"/>
      <w:marRight w:val="0"/>
      <w:marTop w:val="0"/>
      <w:marBottom w:val="0"/>
      <w:divBdr>
        <w:top w:val="none" w:sz="0" w:space="0" w:color="auto"/>
        <w:left w:val="none" w:sz="0" w:space="0" w:color="auto"/>
        <w:bottom w:val="none" w:sz="0" w:space="0" w:color="auto"/>
        <w:right w:val="none" w:sz="0" w:space="0" w:color="auto"/>
      </w:divBdr>
    </w:div>
    <w:div w:id="732121352">
      <w:bodyDiv w:val="1"/>
      <w:marLeft w:val="0"/>
      <w:marRight w:val="0"/>
      <w:marTop w:val="0"/>
      <w:marBottom w:val="0"/>
      <w:divBdr>
        <w:top w:val="none" w:sz="0" w:space="0" w:color="auto"/>
        <w:left w:val="none" w:sz="0" w:space="0" w:color="auto"/>
        <w:bottom w:val="none" w:sz="0" w:space="0" w:color="auto"/>
        <w:right w:val="none" w:sz="0" w:space="0" w:color="auto"/>
      </w:divBdr>
    </w:div>
    <w:div w:id="769352412">
      <w:bodyDiv w:val="1"/>
      <w:marLeft w:val="0"/>
      <w:marRight w:val="0"/>
      <w:marTop w:val="0"/>
      <w:marBottom w:val="0"/>
      <w:divBdr>
        <w:top w:val="none" w:sz="0" w:space="0" w:color="auto"/>
        <w:left w:val="none" w:sz="0" w:space="0" w:color="auto"/>
        <w:bottom w:val="none" w:sz="0" w:space="0" w:color="auto"/>
        <w:right w:val="none" w:sz="0" w:space="0" w:color="auto"/>
      </w:divBdr>
    </w:div>
    <w:div w:id="782309526">
      <w:bodyDiv w:val="1"/>
      <w:marLeft w:val="0"/>
      <w:marRight w:val="0"/>
      <w:marTop w:val="0"/>
      <w:marBottom w:val="0"/>
      <w:divBdr>
        <w:top w:val="none" w:sz="0" w:space="0" w:color="auto"/>
        <w:left w:val="none" w:sz="0" w:space="0" w:color="auto"/>
        <w:bottom w:val="none" w:sz="0" w:space="0" w:color="auto"/>
        <w:right w:val="none" w:sz="0" w:space="0" w:color="auto"/>
      </w:divBdr>
    </w:div>
    <w:div w:id="795414453">
      <w:bodyDiv w:val="1"/>
      <w:marLeft w:val="0"/>
      <w:marRight w:val="0"/>
      <w:marTop w:val="0"/>
      <w:marBottom w:val="0"/>
      <w:divBdr>
        <w:top w:val="none" w:sz="0" w:space="0" w:color="auto"/>
        <w:left w:val="none" w:sz="0" w:space="0" w:color="auto"/>
        <w:bottom w:val="none" w:sz="0" w:space="0" w:color="auto"/>
        <w:right w:val="none" w:sz="0" w:space="0" w:color="auto"/>
      </w:divBdr>
    </w:div>
    <w:div w:id="865412048">
      <w:bodyDiv w:val="1"/>
      <w:marLeft w:val="0"/>
      <w:marRight w:val="0"/>
      <w:marTop w:val="0"/>
      <w:marBottom w:val="0"/>
      <w:divBdr>
        <w:top w:val="none" w:sz="0" w:space="0" w:color="auto"/>
        <w:left w:val="none" w:sz="0" w:space="0" w:color="auto"/>
        <w:bottom w:val="none" w:sz="0" w:space="0" w:color="auto"/>
        <w:right w:val="none" w:sz="0" w:space="0" w:color="auto"/>
      </w:divBdr>
    </w:div>
    <w:div w:id="1007364826">
      <w:bodyDiv w:val="1"/>
      <w:marLeft w:val="0"/>
      <w:marRight w:val="0"/>
      <w:marTop w:val="0"/>
      <w:marBottom w:val="0"/>
      <w:divBdr>
        <w:top w:val="none" w:sz="0" w:space="0" w:color="auto"/>
        <w:left w:val="none" w:sz="0" w:space="0" w:color="auto"/>
        <w:bottom w:val="none" w:sz="0" w:space="0" w:color="auto"/>
        <w:right w:val="none" w:sz="0" w:space="0" w:color="auto"/>
      </w:divBdr>
    </w:div>
    <w:div w:id="1453938130">
      <w:bodyDiv w:val="1"/>
      <w:marLeft w:val="0"/>
      <w:marRight w:val="0"/>
      <w:marTop w:val="0"/>
      <w:marBottom w:val="0"/>
      <w:divBdr>
        <w:top w:val="none" w:sz="0" w:space="0" w:color="auto"/>
        <w:left w:val="none" w:sz="0" w:space="0" w:color="auto"/>
        <w:bottom w:val="none" w:sz="0" w:space="0" w:color="auto"/>
        <w:right w:val="none" w:sz="0" w:space="0" w:color="auto"/>
      </w:divBdr>
    </w:div>
    <w:div w:id="15017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gnp00112\Documents\informacija\2013_gads\nozares\zobarstnieciba\zobarstnieciba_papildus_1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i="1"/>
            </a:pPr>
            <a:r>
              <a:rPr lang="lv-LV" sz="1300" i="1"/>
              <a:t>1.att. Nozares nodokļu un nenodokļu ieņēmumu</a:t>
            </a:r>
          </a:p>
          <a:p>
            <a:pPr>
              <a:defRPr sz="1300" i="1"/>
            </a:pPr>
            <a:r>
              <a:rPr lang="lv-LV" sz="1300" i="1"/>
              <a:t>dinamika, tūkst. Ls</a:t>
            </a:r>
          </a:p>
        </c:rich>
      </c:tx>
      <c:layout>
        <c:manualLayout>
          <c:xMode val="edge"/>
          <c:yMode val="edge"/>
          <c:x val="0.31553419691826062"/>
          <c:y val="3.2443853299345517E-4"/>
        </c:manualLayout>
      </c:layout>
      <c:overlay val="0"/>
    </c:title>
    <c:autoTitleDeleted val="0"/>
    <c:plotArea>
      <c:layout>
        <c:manualLayout>
          <c:layoutTarget val="inner"/>
          <c:xMode val="edge"/>
          <c:yMode val="edge"/>
          <c:x val="0.29473767048749827"/>
          <c:y val="0.13259690670110763"/>
          <c:w val="0.68340808986205992"/>
          <c:h val="0.42866428250772975"/>
        </c:manualLayout>
      </c:layout>
      <c:barChart>
        <c:barDir val="col"/>
        <c:grouping val="stacked"/>
        <c:varyColors val="0"/>
        <c:ser>
          <c:idx val="1"/>
          <c:order val="1"/>
          <c:tx>
            <c:strRef>
              <c:f>ieņēmumi!$B$20</c:f>
              <c:strCache>
                <c:ptCount val="1"/>
                <c:pt idx="0">
                  <c:v>Citi nodokļi un maksājumi</c:v>
                </c:pt>
              </c:strCache>
            </c:strRef>
          </c:tx>
          <c:spPr>
            <a:solidFill>
              <a:schemeClr val="accent2">
                <a:lumMod val="75000"/>
              </a:schemeClr>
            </a:solidFill>
          </c:spPr>
          <c:invertIfNegative val="0"/>
          <c:cat>
            <c:strRef>
              <c:f>ieņēmumi!$D$18:$F$18</c:f>
              <c:strCache>
                <c:ptCount val="3"/>
                <c:pt idx="0">
                  <c:v>2011.gads</c:v>
                </c:pt>
                <c:pt idx="1">
                  <c:v>2012.gads</c:v>
                </c:pt>
                <c:pt idx="2">
                  <c:v>2013.gada 9 mēneši</c:v>
                </c:pt>
              </c:strCache>
            </c:strRef>
          </c:cat>
          <c:val>
            <c:numRef>
              <c:f>ieņēmumi!$D$20:$F$20</c:f>
              <c:numCache>
                <c:formatCode>#,##0.00</c:formatCode>
                <c:ptCount val="3"/>
                <c:pt idx="0">
                  <c:v>66.67</c:v>
                </c:pt>
                <c:pt idx="1">
                  <c:v>57.370000000000005</c:v>
                </c:pt>
                <c:pt idx="2">
                  <c:v>42.230000000000004</c:v>
                </c:pt>
              </c:numCache>
            </c:numRef>
          </c:val>
        </c:ser>
        <c:ser>
          <c:idx val="2"/>
          <c:order val="2"/>
          <c:tx>
            <c:strRef>
              <c:f>ieņēmumi!$B$21</c:f>
              <c:strCache>
                <c:ptCount val="1"/>
                <c:pt idx="0">
                  <c:v>MUN</c:v>
                </c:pt>
              </c:strCache>
            </c:strRef>
          </c:tx>
          <c:spPr>
            <a:solidFill>
              <a:schemeClr val="accent6">
                <a:lumMod val="75000"/>
              </a:schemeClr>
            </a:solidFill>
          </c:spPr>
          <c:invertIfNegative val="0"/>
          <c:cat>
            <c:strRef>
              <c:f>ieņēmumi!$D$18:$F$18</c:f>
              <c:strCache>
                <c:ptCount val="3"/>
                <c:pt idx="0">
                  <c:v>2011.gads</c:v>
                </c:pt>
                <c:pt idx="1">
                  <c:v>2012.gads</c:v>
                </c:pt>
                <c:pt idx="2">
                  <c:v>2013.gada 9 mēneši</c:v>
                </c:pt>
              </c:strCache>
            </c:strRef>
          </c:cat>
          <c:val>
            <c:numRef>
              <c:f>ieņēmumi!$D$21:$F$21</c:f>
              <c:numCache>
                <c:formatCode>#,##0.00</c:formatCode>
                <c:ptCount val="3"/>
                <c:pt idx="0">
                  <c:v>69.3</c:v>
                </c:pt>
                <c:pt idx="1">
                  <c:v>117.17</c:v>
                </c:pt>
                <c:pt idx="2">
                  <c:v>126.82</c:v>
                </c:pt>
              </c:numCache>
            </c:numRef>
          </c:val>
        </c:ser>
        <c:ser>
          <c:idx val="3"/>
          <c:order val="3"/>
          <c:tx>
            <c:strRef>
              <c:f>ieņēmumi!$B$22</c:f>
              <c:strCache>
                <c:ptCount val="1"/>
                <c:pt idx="0">
                  <c:v>IIN</c:v>
                </c:pt>
              </c:strCache>
            </c:strRef>
          </c:tx>
          <c:invertIfNegative val="0"/>
          <c:cat>
            <c:strRef>
              <c:f>ieņēmumi!$D$18:$F$18</c:f>
              <c:strCache>
                <c:ptCount val="3"/>
                <c:pt idx="0">
                  <c:v>2011.gads</c:v>
                </c:pt>
                <c:pt idx="1">
                  <c:v>2012.gads</c:v>
                </c:pt>
                <c:pt idx="2">
                  <c:v>2013.gada 9 mēneši</c:v>
                </c:pt>
              </c:strCache>
            </c:strRef>
          </c:cat>
          <c:val>
            <c:numRef>
              <c:f>ieņēmumi!$D$22:$F$22</c:f>
              <c:numCache>
                <c:formatCode>#,##0.00</c:formatCode>
                <c:ptCount val="3"/>
                <c:pt idx="0">
                  <c:v>1763.98</c:v>
                </c:pt>
                <c:pt idx="1">
                  <c:v>1979.63</c:v>
                </c:pt>
                <c:pt idx="2">
                  <c:v>1668.57</c:v>
                </c:pt>
              </c:numCache>
            </c:numRef>
          </c:val>
        </c:ser>
        <c:ser>
          <c:idx val="4"/>
          <c:order val="4"/>
          <c:tx>
            <c:strRef>
              <c:f>ieņēmumi!$B$23</c:f>
              <c:strCache>
                <c:ptCount val="1"/>
                <c:pt idx="0">
                  <c:v>VSAOI</c:v>
                </c:pt>
              </c:strCache>
            </c:strRef>
          </c:tx>
          <c:spPr>
            <a:solidFill>
              <a:schemeClr val="accent4">
                <a:lumMod val="60000"/>
                <a:lumOff val="40000"/>
              </a:schemeClr>
            </a:solidFill>
          </c:spPr>
          <c:invertIfNegative val="0"/>
          <c:cat>
            <c:strRef>
              <c:f>ieņēmumi!$D$18:$F$18</c:f>
              <c:strCache>
                <c:ptCount val="3"/>
                <c:pt idx="0">
                  <c:v>2011.gads</c:v>
                </c:pt>
                <c:pt idx="1">
                  <c:v>2012.gads</c:v>
                </c:pt>
                <c:pt idx="2">
                  <c:v>2013.gada 9 mēneši</c:v>
                </c:pt>
              </c:strCache>
            </c:strRef>
          </c:cat>
          <c:val>
            <c:numRef>
              <c:f>ieņēmumi!$D$23:$F$23</c:f>
              <c:numCache>
                <c:formatCode>#,##0.00</c:formatCode>
                <c:ptCount val="3"/>
                <c:pt idx="0">
                  <c:v>3088.93</c:v>
                </c:pt>
                <c:pt idx="1">
                  <c:v>3466.63</c:v>
                </c:pt>
                <c:pt idx="2">
                  <c:v>2863.32</c:v>
                </c:pt>
              </c:numCache>
            </c:numRef>
          </c:val>
        </c:ser>
        <c:ser>
          <c:idx val="5"/>
          <c:order val="5"/>
          <c:tx>
            <c:strRef>
              <c:f>ieņēmumi!$B$24</c:f>
              <c:strCache>
                <c:ptCount val="1"/>
                <c:pt idx="0">
                  <c:v>PVN</c:v>
                </c:pt>
              </c:strCache>
            </c:strRef>
          </c:tx>
          <c:spPr>
            <a:solidFill>
              <a:schemeClr val="tx2">
                <a:lumMod val="75000"/>
              </a:schemeClr>
            </a:solidFill>
          </c:spPr>
          <c:invertIfNegative val="0"/>
          <c:cat>
            <c:strRef>
              <c:f>ieņēmumi!$D$18:$F$18</c:f>
              <c:strCache>
                <c:ptCount val="3"/>
                <c:pt idx="0">
                  <c:v>2011.gads</c:v>
                </c:pt>
                <c:pt idx="1">
                  <c:v>2012.gads</c:v>
                </c:pt>
                <c:pt idx="2">
                  <c:v>2013.gada 9 mēneši</c:v>
                </c:pt>
              </c:strCache>
            </c:strRef>
          </c:cat>
          <c:val>
            <c:numRef>
              <c:f>ieņēmumi!$D$24:$F$24</c:f>
              <c:numCache>
                <c:formatCode>#,##0.00</c:formatCode>
                <c:ptCount val="3"/>
                <c:pt idx="0">
                  <c:v>48.48</c:v>
                </c:pt>
                <c:pt idx="1">
                  <c:v>87.37</c:v>
                </c:pt>
                <c:pt idx="2">
                  <c:v>124.05</c:v>
                </c:pt>
              </c:numCache>
            </c:numRef>
          </c:val>
        </c:ser>
        <c:ser>
          <c:idx val="6"/>
          <c:order val="6"/>
          <c:tx>
            <c:strRef>
              <c:f>ieņēmumi!$B$25</c:f>
              <c:strCache>
                <c:ptCount val="1"/>
                <c:pt idx="0">
                  <c:v>UIN</c:v>
                </c:pt>
              </c:strCache>
            </c:strRef>
          </c:tx>
          <c:invertIfNegative val="0"/>
          <c:cat>
            <c:strRef>
              <c:f>ieņēmumi!$D$18:$F$18</c:f>
              <c:strCache>
                <c:ptCount val="3"/>
                <c:pt idx="0">
                  <c:v>2011.gads</c:v>
                </c:pt>
                <c:pt idx="1">
                  <c:v>2012.gads</c:v>
                </c:pt>
                <c:pt idx="2">
                  <c:v>2013.gada 9 mēneši</c:v>
                </c:pt>
              </c:strCache>
            </c:strRef>
          </c:cat>
          <c:val>
            <c:numRef>
              <c:f>ieņēmumi!$D$25:$F$25</c:f>
              <c:numCache>
                <c:formatCode>#,##0.00</c:formatCode>
                <c:ptCount val="3"/>
                <c:pt idx="0">
                  <c:v>261.74</c:v>
                </c:pt>
                <c:pt idx="1">
                  <c:v>285.04000000000002</c:v>
                </c:pt>
                <c:pt idx="2">
                  <c:v>360.48</c:v>
                </c:pt>
              </c:numCache>
            </c:numRef>
          </c:val>
        </c:ser>
        <c:dLbls>
          <c:showLegendKey val="0"/>
          <c:showVal val="0"/>
          <c:showCatName val="0"/>
          <c:showSerName val="0"/>
          <c:showPercent val="0"/>
          <c:showBubbleSize val="0"/>
        </c:dLbls>
        <c:gapWidth val="95"/>
        <c:overlap val="100"/>
        <c:axId val="194519040"/>
        <c:axId val="74222400"/>
      </c:barChart>
      <c:lineChart>
        <c:grouping val="stacked"/>
        <c:varyColors val="0"/>
        <c:ser>
          <c:idx val="0"/>
          <c:order val="0"/>
          <c:tx>
            <c:strRef>
              <c:f>ieņēmumi!$B$19</c:f>
              <c:strCache>
                <c:ptCount val="1"/>
                <c:pt idx="0">
                  <c:v>KOPĀ</c:v>
                </c:pt>
              </c:strCache>
            </c:strRef>
          </c:tx>
          <c:spPr>
            <a:ln>
              <a:noFill/>
            </a:ln>
          </c:spPr>
          <c:marker>
            <c:symbol val="none"/>
          </c:marker>
          <c:cat>
            <c:strRef>
              <c:f>ieņēmumi!$D$18:$F$18</c:f>
              <c:strCache>
                <c:ptCount val="3"/>
                <c:pt idx="0">
                  <c:v>2011.gads</c:v>
                </c:pt>
                <c:pt idx="1">
                  <c:v>2012.gads</c:v>
                </c:pt>
                <c:pt idx="2">
                  <c:v>2013.gada 9 mēneši</c:v>
                </c:pt>
              </c:strCache>
            </c:strRef>
          </c:cat>
          <c:val>
            <c:numRef>
              <c:f>ieņēmumi!$D$19:$F$19</c:f>
              <c:numCache>
                <c:formatCode>#,##0.00</c:formatCode>
                <c:ptCount val="3"/>
                <c:pt idx="0">
                  <c:v>5299.0999999999995</c:v>
                </c:pt>
                <c:pt idx="1">
                  <c:v>5993.21</c:v>
                </c:pt>
                <c:pt idx="2">
                  <c:v>5185.4700000000012</c:v>
                </c:pt>
              </c:numCache>
            </c:numRef>
          </c:val>
          <c:smooth val="0"/>
        </c:ser>
        <c:dLbls>
          <c:showLegendKey val="0"/>
          <c:showVal val="0"/>
          <c:showCatName val="0"/>
          <c:showSerName val="0"/>
          <c:showPercent val="0"/>
          <c:showBubbleSize val="0"/>
        </c:dLbls>
        <c:marker val="1"/>
        <c:smooth val="0"/>
        <c:axId val="194519040"/>
        <c:axId val="74222400"/>
      </c:lineChart>
      <c:catAx>
        <c:axId val="194519040"/>
        <c:scaling>
          <c:orientation val="minMax"/>
        </c:scaling>
        <c:delete val="0"/>
        <c:axPos val="b"/>
        <c:majorTickMark val="none"/>
        <c:minorTickMark val="none"/>
        <c:tickLblPos val="nextTo"/>
        <c:crossAx val="74222400"/>
        <c:crosses val="autoZero"/>
        <c:auto val="1"/>
        <c:lblAlgn val="ctr"/>
        <c:lblOffset val="100"/>
        <c:noMultiLvlLbl val="0"/>
      </c:catAx>
      <c:valAx>
        <c:axId val="74222400"/>
        <c:scaling>
          <c:orientation val="minMax"/>
          <c:max val="6000"/>
          <c:min val="0"/>
        </c:scaling>
        <c:delete val="0"/>
        <c:axPos val="l"/>
        <c:numFmt formatCode="#,##0" sourceLinked="0"/>
        <c:majorTickMark val="none"/>
        <c:minorTickMark val="none"/>
        <c:tickLblPos val="nextTo"/>
        <c:txPr>
          <a:bodyPr/>
          <a:lstStyle/>
          <a:p>
            <a:pPr>
              <a:defRPr sz="1000"/>
            </a:pPr>
            <a:endParaRPr lang="lv-LV"/>
          </a:p>
        </c:txPr>
        <c:crossAx val="194519040"/>
        <c:crosses val="autoZero"/>
        <c:crossBetween val="between"/>
        <c:majorUnit val="1200"/>
      </c:valAx>
      <c:dTable>
        <c:showHorzBorder val="1"/>
        <c:showVertBorder val="1"/>
        <c:showOutline val="1"/>
        <c:showKeys val="1"/>
        <c:txPr>
          <a:bodyPr/>
          <a:lstStyle/>
          <a:p>
            <a:pPr rtl="0">
              <a:defRPr sz="1000"/>
            </a:pPr>
            <a:endParaRPr lang="lv-LV"/>
          </a:p>
        </c:txPr>
      </c:dTable>
      <c:spPr>
        <a:ln>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1"/>
            </a:pPr>
            <a:r>
              <a:rPr lang="lv-LV" sz="1200" i="1"/>
              <a:t>12.att. Kopējais parāds</a:t>
            </a:r>
          </a:p>
        </c:rich>
      </c:tx>
      <c:overlay val="0"/>
    </c:title>
    <c:autoTitleDeleted val="0"/>
    <c:plotArea>
      <c:layout/>
      <c:barChart>
        <c:barDir val="col"/>
        <c:grouping val="stacked"/>
        <c:varyColors val="0"/>
        <c:ser>
          <c:idx val="0"/>
          <c:order val="0"/>
          <c:tx>
            <c:strRef>
              <c:f>Parāds_2011_2013_NACE!$P$8</c:f>
              <c:strCache>
                <c:ptCount val="1"/>
                <c:pt idx="0">
                  <c:v>Aktuālie parādi</c:v>
                </c:pt>
              </c:strCache>
            </c:strRef>
          </c:tx>
          <c:invertIfNegative val="0"/>
          <c:cat>
            <c:strRef>
              <c:f>Parāds_2011_2013_NACE!$Q$7:$S$7</c:f>
              <c:strCache>
                <c:ptCount val="3"/>
                <c:pt idx="0">
                  <c:v>2012.gada sākums</c:v>
                </c:pt>
                <c:pt idx="1">
                  <c:v>2013.gada sākums</c:v>
                </c:pt>
                <c:pt idx="2">
                  <c:v>2013.gada 1.septembri</c:v>
                </c:pt>
              </c:strCache>
            </c:strRef>
          </c:cat>
          <c:val>
            <c:numRef>
              <c:f>Parāds_2011_2013_NACE!$Q$8:$S$8</c:f>
              <c:numCache>
                <c:formatCode>#,##0.00</c:formatCode>
                <c:ptCount val="3"/>
                <c:pt idx="0">
                  <c:v>0.24</c:v>
                </c:pt>
                <c:pt idx="1">
                  <c:v>0.27</c:v>
                </c:pt>
                <c:pt idx="2">
                  <c:v>0.26</c:v>
                </c:pt>
              </c:numCache>
            </c:numRef>
          </c:val>
        </c:ser>
        <c:ser>
          <c:idx val="1"/>
          <c:order val="1"/>
          <c:tx>
            <c:strRef>
              <c:f>Parāds_2011_2013_NACE!$P$9</c:f>
              <c:strCache>
                <c:ptCount val="1"/>
                <c:pt idx="0">
                  <c:v>Termiņa pagarinājumi</c:v>
                </c:pt>
              </c:strCache>
            </c:strRef>
          </c:tx>
          <c:spPr>
            <a:solidFill>
              <a:schemeClr val="accent6">
                <a:lumMod val="40000"/>
                <a:lumOff val="60000"/>
              </a:schemeClr>
            </a:solidFill>
          </c:spPr>
          <c:invertIfNegative val="0"/>
          <c:cat>
            <c:strRef>
              <c:f>Parāds_2011_2013_NACE!$Q$7:$S$7</c:f>
              <c:strCache>
                <c:ptCount val="3"/>
                <c:pt idx="0">
                  <c:v>2012.gada sākums</c:v>
                </c:pt>
                <c:pt idx="1">
                  <c:v>2013.gada sākums</c:v>
                </c:pt>
                <c:pt idx="2">
                  <c:v>2013.gada 1.septembri</c:v>
                </c:pt>
              </c:strCache>
            </c:strRef>
          </c:cat>
          <c:val>
            <c:numRef>
              <c:f>Parāds_2011_2013_NACE!$Q$9:$S$9</c:f>
              <c:numCache>
                <c:formatCode>#,##0.00</c:formatCode>
                <c:ptCount val="3"/>
                <c:pt idx="0">
                  <c:v>5.0000000000000001E-3</c:v>
                </c:pt>
                <c:pt idx="1">
                  <c:v>0.03</c:v>
                </c:pt>
                <c:pt idx="2">
                  <c:v>0.05</c:v>
                </c:pt>
              </c:numCache>
            </c:numRef>
          </c:val>
        </c:ser>
        <c:ser>
          <c:idx val="2"/>
          <c:order val="2"/>
          <c:tx>
            <c:strRef>
              <c:f>Parāds_2011_2013_NACE!$P$10</c:f>
              <c:strCache>
                <c:ptCount val="1"/>
                <c:pt idx="0">
                  <c:v>Apturētie parādi</c:v>
                </c:pt>
              </c:strCache>
            </c:strRef>
          </c:tx>
          <c:invertIfNegative val="0"/>
          <c:cat>
            <c:strRef>
              <c:f>Parāds_2011_2013_NACE!$Q$7:$S$7</c:f>
              <c:strCache>
                <c:ptCount val="3"/>
                <c:pt idx="0">
                  <c:v>2012.gada sākums</c:v>
                </c:pt>
                <c:pt idx="1">
                  <c:v>2013.gada sākums</c:v>
                </c:pt>
                <c:pt idx="2">
                  <c:v>2013.gada 1.septembri</c:v>
                </c:pt>
              </c:strCache>
            </c:strRef>
          </c:cat>
          <c:val>
            <c:numRef>
              <c:f>Parāds_2011_2013_NACE!$Q$10:$S$10</c:f>
              <c:numCache>
                <c:formatCode>#,##0.000</c:formatCode>
                <c:ptCount val="3"/>
                <c:pt idx="0">
                  <c:v>2E-3</c:v>
                </c:pt>
                <c:pt idx="1">
                  <c:v>2E-3</c:v>
                </c:pt>
                <c:pt idx="2" formatCode="#,##0.0000">
                  <c:v>2.9999999999999997E-4</c:v>
                </c:pt>
              </c:numCache>
            </c:numRef>
          </c:val>
        </c:ser>
        <c:dLbls>
          <c:showLegendKey val="0"/>
          <c:showVal val="0"/>
          <c:showCatName val="0"/>
          <c:showSerName val="0"/>
          <c:showPercent val="0"/>
          <c:showBubbleSize val="0"/>
        </c:dLbls>
        <c:gapWidth val="95"/>
        <c:overlap val="100"/>
        <c:axId val="194520064"/>
        <c:axId val="74222976"/>
      </c:barChart>
      <c:lineChart>
        <c:grouping val="standard"/>
        <c:varyColors val="0"/>
        <c:ser>
          <c:idx val="3"/>
          <c:order val="3"/>
          <c:tx>
            <c:strRef>
              <c:f>Parāds_2011_2013_NACE!$P$11</c:f>
              <c:strCache>
                <c:ptCount val="1"/>
                <c:pt idx="0">
                  <c:v>KOPĀ</c:v>
                </c:pt>
              </c:strCache>
            </c:strRef>
          </c:tx>
          <c:spPr>
            <a:ln>
              <a:noFill/>
            </a:ln>
          </c:spPr>
          <c:marker>
            <c:symbol val="none"/>
          </c:marker>
          <c:cat>
            <c:strRef>
              <c:f>Parāds_2011_2013_NACE!$Q$7:$S$7</c:f>
              <c:strCache>
                <c:ptCount val="3"/>
                <c:pt idx="0">
                  <c:v>2012.gada sākums</c:v>
                </c:pt>
                <c:pt idx="1">
                  <c:v>2013.gada sākums</c:v>
                </c:pt>
                <c:pt idx="2">
                  <c:v>2013.gada 1.septembri</c:v>
                </c:pt>
              </c:strCache>
            </c:strRef>
          </c:cat>
          <c:val>
            <c:numRef>
              <c:f>Parāds_2011_2013_NACE!$Q$11:$S$11</c:f>
              <c:numCache>
                <c:formatCode>#,##0.00</c:formatCode>
                <c:ptCount val="3"/>
                <c:pt idx="0">
                  <c:v>0.247</c:v>
                </c:pt>
                <c:pt idx="1">
                  <c:v>0.30200000000000005</c:v>
                </c:pt>
                <c:pt idx="2">
                  <c:v>0.31030000000000002</c:v>
                </c:pt>
              </c:numCache>
            </c:numRef>
          </c:val>
          <c:smooth val="0"/>
        </c:ser>
        <c:dLbls>
          <c:showLegendKey val="0"/>
          <c:showVal val="0"/>
          <c:showCatName val="0"/>
          <c:showSerName val="0"/>
          <c:showPercent val="0"/>
          <c:showBubbleSize val="0"/>
        </c:dLbls>
        <c:marker val="1"/>
        <c:smooth val="0"/>
        <c:axId val="194520064"/>
        <c:axId val="74222976"/>
      </c:lineChart>
      <c:catAx>
        <c:axId val="194520064"/>
        <c:scaling>
          <c:orientation val="minMax"/>
        </c:scaling>
        <c:delete val="0"/>
        <c:axPos val="b"/>
        <c:majorTickMark val="none"/>
        <c:minorTickMark val="none"/>
        <c:tickLblPos val="nextTo"/>
        <c:crossAx val="74222976"/>
        <c:crosses val="autoZero"/>
        <c:auto val="1"/>
        <c:lblAlgn val="ctr"/>
        <c:lblOffset val="100"/>
        <c:noMultiLvlLbl val="0"/>
      </c:catAx>
      <c:valAx>
        <c:axId val="74222976"/>
        <c:scaling>
          <c:orientation val="minMax"/>
        </c:scaling>
        <c:delete val="0"/>
        <c:axPos val="l"/>
        <c:title>
          <c:tx>
            <c:rich>
              <a:bodyPr/>
              <a:lstStyle/>
              <a:p>
                <a:pPr>
                  <a:defRPr/>
                </a:pPr>
                <a:r>
                  <a:rPr lang="lv-LV"/>
                  <a:t>Parādu summa, milj. latu</a:t>
                </a:r>
              </a:p>
            </c:rich>
          </c:tx>
          <c:layout>
            <c:manualLayout>
              <c:xMode val="edge"/>
              <c:yMode val="edge"/>
              <c:x val="0.16666666666666666"/>
              <c:y val="0.1382663073156124"/>
            </c:manualLayout>
          </c:layout>
          <c:overlay val="0"/>
        </c:title>
        <c:numFmt formatCode="#,##0" sourceLinked="0"/>
        <c:majorTickMark val="none"/>
        <c:minorTickMark val="none"/>
        <c:tickLblPos val="nextTo"/>
        <c:crossAx val="194520064"/>
        <c:crosses val="autoZero"/>
        <c:crossBetween val="between"/>
      </c:valAx>
      <c:dTable>
        <c:showHorzBorder val="1"/>
        <c:showVertBorder val="1"/>
        <c:showOutline val="1"/>
        <c:showKeys val="1"/>
      </c:dTable>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TotalTime>
  <Pages>8</Pages>
  <Words>9084</Words>
  <Characters>5178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Konošonoka</dc:creator>
  <cp:lastModifiedBy>Marina Roja</cp:lastModifiedBy>
  <cp:revision>22</cp:revision>
  <dcterms:created xsi:type="dcterms:W3CDTF">2013-10-04T11:10:00Z</dcterms:created>
  <dcterms:modified xsi:type="dcterms:W3CDTF">2013-10-04T12:46:00Z</dcterms:modified>
</cp:coreProperties>
</file>